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E94F" w14:textId="77777777" w:rsidR="005D0A4C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44F85DE3" wp14:editId="0736B0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0E56DF7" w14:textId="77777777" w:rsidR="005D0A4C" w:rsidRDefault="00000000">
      <w:pPr>
        <w:pStyle w:val="titludiscplan"/>
      </w:pPr>
      <w:r>
        <w:t>FIŞA DISCIPLINEI</w:t>
      </w:r>
    </w:p>
    <w:p w14:paraId="5CB876B8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5B583C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5074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E4349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5D0A4C" w14:paraId="5EBD909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388C7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337B9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5D0A4C" w14:paraId="5AE108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EFA3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60095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D0A4C" w14:paraId="24BD2CA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8B50B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628EE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D0A4C" w14:paraId="7DFF62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7FDB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09EF9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5D0A4C" w14:paraId="17B351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6142B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0A33E" w14:textId="31169644" w:rsidR="005D0A4C" w:rsidRDefault="00B242F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242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</w:t>
            </w:r>
            <w:proofErr w:type="spellEnd"/>
            <w:r w:rsidRPr="00B242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1C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mediului</w:t>
            </w:r>
            <w:proofErr w:type="spellEnd"/>
            <w:r w:rsidR="00491C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1C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si</w:t>
            </w:r>
            <w:proofErr w:type="spellEnd"/>
            <w:r w:rsidR="00491C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1C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siguranță</w:t>
            </w:r>
            <w:proofErr w:type="spellEnd"/>
            <w:r w:rsidR="00491C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1C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alimentară</w:t>
            </w:r>
            <w:proofErr w:type="spellEnd"/>
          </w:p>
        </w:tc>
      </w:tr>
    </w:tbl>
    <w:p w14:paraId="554681A8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0CE8EE70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5D0A4C" w14:paraId="1E9513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00172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46C8D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Analiza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</w:p>
        </w:tc>
      </w:tr>
      <w:tr w:rsidR="005D0A4C" w14:paraId="08FF4EC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BAFC9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38843" w14:textId="242CD910" w:rsidR="005D0A4C" w:rsidRDefault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 Aurel PUI</w:t>
            </w:r>
          </w:p>
        </w:tc>
      </w:tr>
      <w:tr w:rsidR="005D0A4C" w14:paraId="5C069F9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EDDB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7CD2A" w14:textId="06082EDA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C1B3B">
              <w:rPr>
                <w:rFonts w:eastAsia="Times New Roman"/>
                <w:color w:val="000000"/>
                <w:sz w:val="20"/>
                <w:szCs w:val="20"/>
              </w:rPr>
              <w:t xml:space="preserve">As. </w:t>
            </w:r>
            <w:proofErr w:type="spellStart"/>
            <w:r w:rsidR="00AC1B3B">
              <w:rPr>
                <w:rFonts w:eastAsia="Times New Roman"/>
                <w:color w:val="000000"/>
                <w:sz w:val="20"/>
                <w:szCs w:val="20"/>
              </w:rPr>
              <w:t>drd</w:t>
            </w:r>
            <w:proofErr w:type="spellEnd"/>
            <w:r w:rsidR="00AC1B3B">
              <w:rPr>
                <w:rFonts w:eastAsia="Times New Roman"/>
                <w:color w:val="000000"/>
                <w:sz w:val="20"/>
                <w:szCs w:val="20"/>
              </w:rPr>
              <w:t>. Ioana RADU</w:t>
            </w:r>
          </w:p>
        </w:tc>
      </w:tr>
      <w:tr w:rsidR="005D0A4C" w14:paraId="4737586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742C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E66952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31E26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88437E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1E847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88CBC7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E5EEB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8C3E1A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146D237" w14:textId="77777777" w:rsidR="005D0A4C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04FB5250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389181BB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5D0A4C" w14:paraId="6790A9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AC564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E35ABB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C83C3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7A2C9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CD5C9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122E8D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D0A4C" w14:paraId="642410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71CE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3C7B4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0EC07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FBA5C0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B574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C802E7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5D0A4C" w14:paraId="7AE54A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F2A4F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70486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B3AD5" w14:paraId="4BC29FCB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222FC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909" w14:textId="6F9BBB40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32</w:t>
            </w:r>
          </w:p>
        </w:tc>
      </w:tr>
      <w:tr w:rsidR="002B3AD5" w14:paraId="554D9DA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8FA3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CFF" w14:textId="69F12A5B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2B3AD5" w14:paraId="02F8E1D7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56F9A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44F" w14:textId="75135262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2B3AD5" w14:paraId="1A6E4C5D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CA16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3A39" w14:textId="36B02811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3AD5" w14:paraId="2B828A2E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45358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C5A" w14:textId="0A2C4DC3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2B3AD5" w14:paraId="7907C4F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BC640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049" w14:textId="38B342F5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</w:t>
            </w:r>
            <w:r w:rsidRPr="002B3AD5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2B3AD5" w14:paraId="7D15873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BCF2F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7E8125E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B3AD5" w14:paraId="3E339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279B1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3543E" w14:textId="61256DB8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2B3AD5" w14:paraId="727434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0373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A42DF" w14:textId="09578F2B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2B3AD5" w14:paraId="28B5EA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5147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BE970F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5E29E24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41D9BBD8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0B2DEA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83578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F81AEE" w14:textId="6430DB5B" w:rsidR="005D0A4C" w:rsidRDefault="00000000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5D0A4C" w14:paraId="00F7C2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FEE76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C2FEE" w14:textId="77777777" w:rsidR="005D0A4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EBEC3A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64D25239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4DD23E1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94240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5F8085" w14:textId="343EB19E" w:rsidR="005D0A4C" w:rsidRDefault="00000000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gram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curs</w:t>
            </w:r>
            <w:proofErr w:type="gram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telefoanele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mobile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închise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D0A4C" w14:paraId="42ADE9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5C989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CE321F" w14:textId="77777777" w:rsidR="002B3AD5" w:rsidRP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la seminar/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telefoanele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mobile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închise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4E65A13C" w14:textId="77777777" w:rsidR="002B3AD5" w:rsidRP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Studentii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trebuie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pregătească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activitatea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/seminar. 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Rezolvarea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temelor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parcursul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semestrului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obligatorie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4314EEF" w14:textId="2BE749B3" w:rsidR="005D0A4C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halat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ochelari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protecție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manusi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cârpă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D893E9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23AF1C93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5D0A4C" w14:paraId="79739C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7FF75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FECFE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efectua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valida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problematicii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tipuri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relevante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corectă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corelată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-un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tuturor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statistice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procedeelor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variante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alternative optime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avansate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scopul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relevante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prevederilor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legislative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managementul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5D0A4C" w14:paraId="358DA89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E4880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446B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logistice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planificării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organizării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cariera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elaborarea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rapoarte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cercetare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articole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termenele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68A96E2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5DCB1BA4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5D0A4C" w14:paraId="294A9A2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03D9D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8A479" w14:textId="70DA93D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Furnizarea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fundamentale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despre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structura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corelate cu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respective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metodele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investigare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acestora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5D0A4C" w14:paraId="47E124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804F0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224F6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7E083B4A" w14:textId="42438932" w:rsidR="002B3AD5" w:rsidRPr="002B3AD5" w:rsidRDefault="002B3AD5" w:rsidP="002B3AD5">
            <w:pPr>
              <w:numPr>
                <w:ilvl w:val="0"/>
                <w:numId w:val="1"/>
              </w:numPr>
              <w:ind w:left="714" w:hanging="357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istematizare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corelare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prezinte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diferitel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folosite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investigarea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1CD777B4" w14:textId="2BEB74BA" w:rsidR="002B3AD5" w:rsidRPr="002B3AD5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acumulate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utilizand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modele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invatat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71C687B" w14:textId="48504CFD" w:rsidR="005D0A4C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ealizarea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referat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lucrare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asupra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sintezei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caracterizarii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compusi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34333D3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6427E4E4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8"/>
        <w:gridCol w:w="3685"/>
        <w:gridCol w:w="1827"/>
      </w:tblGrid>
      <w:tr w:rsidR="005D0A4C" w14:paraId="35D93CDE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E45B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9559F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67113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CEE92" w14:textId="77777777" w:rsidR="005D0A4C" w:rsidRDefault="00000000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7A358E" w14:paraId="512B4269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0E4B7" w14:textId="5366AB3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3390A" w14:textId="18227AE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en-GB"/>
              </w:rPr>
              <w:t>Stereochimia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compusilor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0186F" w14:textId="05A0409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6586E" w14:textId="0F2886C1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2 ore</w:t>
            </w:r>
          </w:p>
        </w:tc>
      </w:tr>
      <w:tr w:rsidR="007A358E" w14:paraId="4133CE0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F96CE" w14:textId="7375E1B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91C74" w14:textId="68C7870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Difracția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raze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X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549CA" w14:textId="5630F49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C6DF9" w14:textId="05EE51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AA1453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C5BA1" w14:textId="22B273E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1B76" w14:textId="331653B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Analiza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elementala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Pr="007A358E">
              <w:rPr>
                <w:sz w:val="20"/>
                <w:szCs w:val="20"/>
                <w:lang w:val="fr-FR"/>
              </w:rPr>
              <w:t xml:space="preserve">si 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spectroscopia</w:t>
            </w:r>
            <w:proofErr w:type="spellEnd"/>
            <w:proofErr w:type="gram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masa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4DF7" w14:textId="7A958C2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1DD3C" w14:textId="562ED91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0A001D9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19001" w14:textId="5E4AF2E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E60EA" w14:textId="7C54DCC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Spectroscopia de rezonanță (RMN; RES)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8AFE0" w14:textId="5EA5E6B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FE710" w14:textId="1D905458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7336868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70A8E" w14:textId="45007C5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CB843" w14:textId="3EAF4E0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Investigarea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structurii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substantelor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anorganice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prin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spectroscopia</w:t>
            </w:r>
            <w:proofErr w:type="spellEnd"/>
            <w:r w:rsidRPr="007A358E">
              <w:rPr>
                <w:sz w:val="20"/>
                <w:szCs w:val="20"/>
              </w:rPr>
              <w:t xml:space="preserve"> IR: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5B189" w14:textId="665056E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D4C0" w14:textId="3321B96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004EF3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5CF58" w14:textId="2FD258B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052C3" w14:textId="33A25C7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Utilizarea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spectroscopiei</w:t>
            </w:r>
            <w:proofErr w:type="spellEnd"/>
            <w:r w:rsidRPr="007A358E">
              <w:rPr>
                <w:sz w:val="20"/>
                <w:szCs w:val="20"/>
              </w:rPr>
              <w:t xml:space="preserve"> UV-VIS in </w:t>
            </w:r>
            <w:proofErr w:type="spellStart"/>
            <w:r w:rsidRPr="007A358E">
              <w:rPr>
                <w:sz w:val="20"/>
                <w:szCs w:val="20"/>
              </w:rPr>
              <w:t>determinarea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structurii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compusilor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anorganici</w:t>
            </w:r>
            <w:proofErr w:type="spellEnd"/>
            <w:r w:rsidRPr="007A358E">
              <w:rPr>
                <w:sz w:val="20"/>
                <w:szCs w:val="20"/>
              </w:rPr>
              <w:t>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3DCFA" w14:textId="76C12D7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1505D" w14:textId="6BFA4D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5DAA59A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CCAC3" w14:textId="7C7474C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B8310" w14:textId="1AB13FE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Corelatii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intre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comportarea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magnetica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proprietățile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electrice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si structura </w:t>
            </w:r>
            <w:proofErr w:type="spellStart"/>
            <w:proofErr w:type="gramStart"/>
            <w:r w:rsidRPr="007A358E">
              <w:rPr>
                <w:sz w:val="20"/>
                <w:szCs w:val="20"/>
                <w:lang w:val="fr-FR"/>
              </w:rPr>
              <w:t>compusilor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>:</w:t>
            </w:r>
            <w:proofErr w:type="gram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FF00D" w14:textId="1CEE392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90AA7" w14:textId="7A13164E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2 ore</w:t>
            </w:r>
          </w:p>
        </w:tc>
      </w:tr>
      <w:tr w:rsidR="007A358E" w14:paraId="12ED7BB6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F9E1E" w14:textId="494BB4A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1E03B" w14:textId="785F6B4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Alte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metode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proofErr w:type="gramStart"/>
            <w:r w:rsidRPr="007A358E">
              <w:rPr>
                <w:sz w:val="20"/>
                <w:szCs w:val="20"/>
                <w:lang w:val="fr-FR"/>
              </w:rPr>
              <w:t>analiza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>:</w:t>
            </w:r>
            <w:proofErr w:type="gram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analiza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termică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voltametria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ciclică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>, SEM, TEM etc.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410AD" w14:textId="7FA3442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07D22" w14:textId="35798ED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8C2126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FC8A8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</w:p>
          <w:p w14:paraId="1C019F36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Referinte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principale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34E50DFE" w14:textId="14AF64DB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>A. Pui, Note de curs, ed. 2023</w:t>
            </w:r>
          </w:p>
          <w:p w14:paraId="0545ADB7" w14:textId="15C49E94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A. Pui, Nicoleta Cornei, D. G. Cozma, „Analiza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structurala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anorganica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”, Ed.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Performantica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>, Iasi, 2008.</w:t>
            </w:r>
          </w:p>
          <w:p w14:paraId="5D2609D0" w14:textId="47C05517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536395" w14:textId="1AC0EC33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751FF7A2" w14:textId="7EB4084D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</w:p>
          <w:p w14:paraId="2F272F9F" w14:textId="677AB0D0" w:rsidR="00C549EE" w:rsidRPr="007A358E" w:rsidRDefault="00C549E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Pr="00C549EE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</w:p>
          <w:p w14:paraId="2BFC1549" w14:textId="096B7124" w:rsidR="007A358E" w:rsidRPr="007A358E" w:rsidRDefault="00C549E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E. A. V</w:t>
            </w:r>
            <w:r w:rsidR="005F196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Ebsworth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Structural methods in inorganic chemistry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1991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66BFE01" w14:textId="527CE1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FA7F07F" w14:textId="38B2ABB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358E" w14:paraId="228BC2F7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9B4B7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B78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AC6B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59E03" w14:textId="77777777" w:rsid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7A358E" w14:paraId="07FB08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34A88" w14:textId="3CB812E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0F2436" w14:textId="253643D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Sedinţă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introductivă</w:t>
            </w:r>
            <w:proofErr w:type="spellEnd"/>
            <w:r w:rsidRPr="007A358E">
              <w:rPr>
                <w:sz w:val="20"/>
                <w:szCs w:val="20"/>
              </w:rPr>
              <w:t xml:space="preserve">. </w:t>
            </w:r>
            <w:proofErr w:type="spellStart"/>
            <w:r w:rsidRPr="007A358E">
              <w:rPr>
                <w:sz w:val="20"/>
                <w:szCs w:val="20"/>
              </w:rPr>
              <w:t>Protecţia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muncii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1E7E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78ED1F87" w14:textId="716B85A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F7E3F" w14:textId="1DC7ECB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1 ore</w:t>
            </w:r>
          </w:p>
        </w:tc>
      </w:tr>
      <w:tr w:rsidR="007A358E" w14:paraId="2E5ACF4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70F36" w14:textId="63BF959D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5F54BA" w14:textId="4DEF3F1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Sinteze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compuşi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(I)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1A8A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40420956" w14:textId="6200FDB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>,  Activitate</w:t>
            </w:r>
            <w:proofErr w:type="gram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experimentala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CF0B3" w14:textId="0B1A8867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76E70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95E4E" w14:textId="13EF8461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39979" w14:textId="66B6301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Sinteze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compuşi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(II)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0AF2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42738735" w14:textId="762D986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Activitate </w:t>
            </w:r>
            <w:proofErr w:type="spellStart"/>
            <w:r w:rsidRPr="007A358E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C455" w14:textId="4E3DA5A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98C48AF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B0526" w14:textId="2E07DA1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158E6" w14:textId="7E46A4E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Determinarea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compoziție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chimice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compușilor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 ;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analiză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elementală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spectrometrie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masă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232F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2F9C3E15" w14:textId="5BDA65A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66CE5" w14:textId="647B9B5A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43A88D8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64C58" w14:textId="7503AF0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855E" w14:textId="295F5A0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Metode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spectrale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analiză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compusilor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D32A1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69C81FDE" w14:textId="775C28E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74BF" w14:textId="2599D4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F5A267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AEEA2" w14:textId="1972523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8FCD" w14:textId="51C98D7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Caracterizarea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compușilor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obținuți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prin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spectroscopie</w:t>
            </w:r>
            <w:proofErr w:type="spellEnd"/>
            <w:r w:rsidRPr="007A358E">
              <w:rPr>
                <w:sz w:val="20"/>
                <w:szCs w:val="20"/>
              </w:rPr>
              <w:t xml:space="preserve"> UV VIS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57EAD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240661DF" w14:textId="5119884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>,  Activitate</w:t>
            </w:r>
            <w:proofErr w:type="gram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experimentala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57CE8" w14:textId="5B8D753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2CED4132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D75B0" w14:textId="5CD78B8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BDA1" w14:textId="540FFF1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Caracterizarea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compușilor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obținuți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prin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spectroscopieFTIR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9579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092F710E" w14:textId="5563087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Activitate </w:t>
            </w:r>
            <w:proofErr w:type="spellStart"/>
            <w:r w:rsidRPr="007A358E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0D5F6" w14:textId="53487C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65FD8EAC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5845" w14:textId="1ED62D62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3D0F" w14:textId="1997C90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 xml:space="preserve">Analiza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compusilor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prin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a</w:t>
            </w:r>
            <w:r w:rsidRPr="007A358E">
              <w:rPr>
                <w:sz w:val="20"/>
                <w:szCs w:val="20"/>
                <w:lang w:val="pt-BR"/>
              </w:rPr>
              <w:t xml:space="preserve">naliză </w:t>
            </w:r>
            <w:proofErr w:type="gramStart"/>
            <w:r w:rsidRPr="007A358E">
              <w:rPr>
                <w:sz w:val="20"/>
                <w:szCs w:val="20"/>
                <w:lang w:val="pt-BR"/>
              </w:rPr>
              <w:t xml:space="preserve">termică, 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spectroscopia</w:t>
            </w:r>
            <w:proofErr w:type="spellEnd"/>
            <w:proofErr w:type="gramEnd"/>
            <w:r w:rsidRPr="007A358E">
              <w:rPr>
                <w:sz w:val="20"/>
                <w:szCs w:val="20"/>
                <w:lang w:val="en-GB"/>
              </w:rPr>
              <w:t xml:space="preserve"> RMN</w:t>
            </w:r>
            <w:r w:rsidRPr="007A358E">
              <w:rPr>
                <w:sz w:val="20"/>
                <w:szCs w:val="20"/>
                <w:lang w:val="pt-BR"/>
              </w:rPr>
              <w:t xml:space="preserve"> și alte metode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86690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4B155B2A" w14:textId="30538BA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7379F" w14:textId="1021BB39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58ED9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41B57" w14:textId="7918319A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9.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9AD33" w14:textId="3033CE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rezentarea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analiza rezultatelor 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obţinute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72166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17765A24" w14:textId="4B49315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CDE09" w14:textId="51F727BB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E470855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FB9BA" w14:textId="75B9C250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338D35" w14:textId="77777777" w:rsidR="007A358E" w:rsidRPr="007A358E" w:rsidRDefault="007A358E" w:rsidP="007A358E">
            <w:pPr>
              <w:rPr>
                <w:sz w:val="20"/>
                <w:szCs w:val="20"/>
                <w:lang w:val="ro-RO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rezentarea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analiza rezultatelor 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obţinute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. </w:t>
            </w:r>
          </w:p>
          <w:p w14:paraId="7814FEF7" w14:textId="03BD19A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ro-RO"/>
              </w:rPr>
              <w:t>Sedinta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finala.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47C1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5886473C" w14:textId="37F9B45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67AC3A" w14:textId="0188E8C5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FC3DABD" w14:textId="77777777" w:rsidTr="007A358E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82B47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1. Aurel Pui,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Dănuţ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Gabriel Cozma, Ioan Berdan,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Al.</w:t>
            </w:r>
            <w:proofErr w:type="gram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I.Cuza</w:t>
            </w:r>
            <w:proofErr w:type="spellEnd"/>
            <w:proofErr w:type="gram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>, 2001.</w:t>
            </w:r>
          </w:p>
          <w:p w14:paraId="065108EE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2. K. Nakamoto, Infrared and Raman Spectra of Inorganic and Coordination compounds, 5th Edition, John Wiley and Sons, Ltd, 1997.</w:t>
            </w:r>
          </w:p>
          <w:p w14:paraId="6DD04689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3. A.B.P. Lever, Inorganic Electronic Spectroscopy, Elsevier, Amsterdam, 1968.</w:t>
            </w:r>
          </w:p>
          <w:p w14:paraId="5E3D17D4" w14:textId="77777777" w:rsidR="00C549E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4. R. A. Marusak, Kate Doan, S.D. Cummings, Inorganic Approach to Coordination Chemistry; an inorganic laboratory guide, 2007 by John Wiley &amp; Sons, Inc.</w:t>
            </w:r>
          </w:p>
          <w:p w14:paraId="161787DD" w14:textId="6552C562" w:rsidR="007A358E" w:rsidRDefault="00C549E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549EE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7AB5A01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43A8ADEE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5D0A4C" w14:paraId="6BF747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56DEF" w14:textId="44CF20BA" w:rsidR="005D0A4C" w:rsidRDefault="00000000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Prin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insusirea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conceptelor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teoretico-metodologice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abordarea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aspectelor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incluse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in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disciplina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Analiza </w:t>
            </w:r>
            <w:proofErr w:type="spellStart"/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structurala</w:t>
            </w:r>
            <w:proofErr w:type="spellEnd"/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anorganica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studentii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dobandesc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bagaj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cunostinte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consistent, in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concordanta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competentele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partiale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cerute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ocupatiile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posibile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prevazute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Grila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1 M– RNCIS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cerintele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de pe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piata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munci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88F7B10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0370C332" w14:textId="77777777" w:rsidR="005D0A4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28"/>
        <w:gridCol w:w="2125"/>
        <w:gridCol w:w="1968"/>
      </w:tblGrid>
      <w:tr w:rsidR="005D0A4C" w14:paraId="10FDF3E1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D195A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25069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058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3A742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46406" w14:textId="77777777" w:rsidR="005D0A4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F1A19" w14:paraId="3C52EAA4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1ACF7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A1E83" w14:textId="7F1D1A9B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Rezolvarea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corectă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unor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exerciții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probleme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tematica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predată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BEF5D3" w14:textId="138C54B4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corectă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unor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investigare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structurii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compușilor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ED582B4" w14:textId="1A92A03A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20B6" w14:textId="61B0AFB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7C08F" w14:textId="7BB5F5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80%</w:t>
            </w:r>
          </w:p>
        </w:tc>
      </w:tr>
      <w:tr w:rsidR="00FF1A19" w14:paraId="41DAD868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0745D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8C325" w14:textId="77777777" w:rsidR="00FF1A19" w:rsidRDefault="00FF1A19" w:rsidP="00FF1A19">
            <w:pPr>
              <w:rPr>
                <w:sz w:val="20"/>
                <w:szCs w:val="20"/>
              </w:rPr>
            </w:pPr>
            <w:proofErr w:type="spellStart"/>
            <w:r w:rsidRPr="00FF1A19">
              <w:rPr>
                <w:sz w:val="20"/>
                <w:szCs w:val="20"/>
              </w:rPr>
              <w:t>Corectitudinea</w:t>
            </w:r>
            <w:proofErr w:type="spellEnd"/>
            <w:r w:rsidRPr="00FF1A19">
              <w:rPr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</w:rPr>
              <w:t>rezultatelor</w:t>
            </w:r>
            <w:proofErr w:type="spellEnd"/>
            <w:r w:rsidRPr="00FF1A19">
              <w:rPr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</w:rPr>
              <w:t>şi</w:t>
            </w:r>
            <w:proofErr w:type="spellEnd"/>
            <w:r w:rsidRPr="00FF1A19">
              <w:rPr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</w:rPr>
              <w:t>răspunsurilor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FF1A19">
              <w:rPr>
                <w:sz w:val="20"/>
                <w:szCs w:val="20"/>
              </w:rPr>
              <w:t xml:space="preserve"> </w:t>
            </w:r>
          </w:p>
          <w:p w14:paraId="5D39C557" w14:textId="0F1B2CEF" w:rsidR="00FF1A19" w:rsidRDefault="00FF1A19" w:rsidP="00FF1A19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r w:rsidRPr="00FF1A19">
              <w:rPr>
                <w:sz w:val="20"/>
                <w:szCs w:val="20"/>
              </w:rPr>
              <w:t>nsuşirea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F1A19">
              <w:rPr>
                <w:sz w:val="20"/>
                <w:szCs w:val="20"/>
              </w:rPr>
              <w:t>înţelegerea</w:t>
            </w:r>
            <w:proofErr w:type="spellEnd"/>
            <w:r w:rsidRPr="00FF1A1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explicarea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</w:rPr>
              <w:t>corectă</w:t>
            </w:r>
            <w:proofErr w:type="spellEnd"/>
            <w:r w:rsidRPr="00FF1A19">
              <w:rPr>
                <w:sz w:val="20"/>
                <w:szCs w:val="20"/>
              </w:rPr>
              <w:t xml:space="preserve"> a </w:t>
            </w:r>
            <w:proofErr w:type="spellStart"/>
            <w:r w:rsidRPr="00FF1A19">
              <w:rPr>
                <w:sz w:val="20"/>
                <w:szCs w:val="20"/>
                <w:lang w:val="fr-FR"/>
              </w:rPr>
              <w:t>problematicii</w:t>
            </w:r>
            <w:proofErr w:type="spellEnd"/>
            <w:r w:rsidRPr="00FF1A1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  <w:lang w:val="fr-FR"/>
              </w:rPr>
              <w:t>tratate</w:t>
            </w:r>
            <w:proofErr w:type="spellEnd"/>
            <w:r w:rsidRPr="00FF1A19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FF1A19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FF1A19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FF1A19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FF1A19">
              <w:rPr>
                <w:sz w:val="20"/>
                <w:szCs w:val="20"/>
                <w:lang w:val="fr-FR"/>
              </w:rPr>
              <w:t>.</w:t>
            </w:r>
          </w:p>
          <w:p w14:paraId="307CE502" w14:textId="3646DC47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Prezentarea</w:t>
            </w:r>
            <w:proofErr w:type="spellEnd"/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rezultatelor</w:t>
            </w:r>
            <w:proofErr w:type="spellEnd"/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obținute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A53AB" w14:textId="38FC5A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Teste, raspunsuri</w:t>
            </w:r>
            <w:r>
              <w:rPr>
                <w:noProof/>
                <w:sz w:val="20"/>
                <w:szCs w:val="20"/>
              </w:rPr>
              <w:t>, prezentări</w:t>
            </w:r>
            <w:r w:rsidRPr="00FF1A19">
              <w:rPr>
                <w:noProof/>
                <w:sz w:val="20"/>
                <w:szCs w:val="20"/>
              </w:rPr>
              <w:t xml:space="preserve"> orale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8AE14" w14:textId="22D38388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20%</w:t>
            </w:r>
          </w:p>
        </w:tc>
      </w:tr>
      <w:tr w:rsidR="00FF1A19" w14:paraId="1C5563E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CEEE4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F1A19" w14:paraId="19795D6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0D79D" w14:textId="77777777" w:rsidR="002E7F65" w:rsidRDefault="002E7F65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unei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documentari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adecvate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referitoare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sinteza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proprietatile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chimic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realizarea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autonoma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experimentelor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979BDDC" w14:textId="77777777" w:rsidR="002E7F65" w:rsidRPr="00FF1A19" w:rsidRDefault="002E7F65" w:rsidP="002E7F6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corectă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materialelor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experiment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chimic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7BE0B6FD" w14:textId="24EA60D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Stabilirea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reactivităţii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studiaţi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aplicând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modele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teorii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adecvate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C2D2246" w14:textId="4646D288" w:rsidR="002E7F65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Elaborarea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tehnoredactarea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susţinerea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2E7F65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="002E7F65"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unei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cercetare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dezvoltare</w:t>
            </w:r>
            <w:proofErr w:type="spellEnd"/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7F65"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a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proiect</w:t>
            </w:r>
            <w:proofErr w:type="spellEnd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caracter</w:t>
            </w:r>
            <w:proofErr w:type="spellEnd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inter </w:t>
            </w:r>
            <w:proofErr w:type="spellStart"/>
            <w:r w:rsidR="00D430D8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transdisciplinar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pe o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temă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actuală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2E5EB1C" w14:textId="23044B1F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FFFB4C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3893"/>
        <w:gridCol w:w="3237"/>
      </w:tblGrid>
      <w:tr w:rsidR="005D0A4C" w14:paraId="23B6698E" w14:textId="77777777">
        <w:tc>
          <w:tcPr>
            <w:tcW w:w="0" w:type="auto"/>
            <w:hideMark/>
          </w:tcPr>
          <w:p w14:paraId="7A588120" w14:textId="6521A855" w:rsidR="005D0A4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B9356D" w:rsidRPr="00B9356D">
              <w:rPr>
                <w:rFonts w:eastAsia="Times New Roman"/>
                <w:color w:val="000000"/>
              </w:rPr>
              <w:t>27.09.2024</w:t>
            </w:r>
            <w:r w:rsidR="00B9356D" w:rsidRPr="00B9356D">
              <w:rPr>
                <w:rFonts w:eastAsia="Times New Roman"/>
                <w:b/>
                <w:bCs/>
                <w:color w:val="000000"/>
              </w:rPr>
              <w:t>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05EA5C2" w14:textId="1516ABDC" w:rsidR="005D0A4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F1A19" w:rsidRPr="00A944A3"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5CF3A" w14:textId="77777777" w:rsidR="00FF1A19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3A09C424" w14:textId="09F5BB07" w:rsidR="005D0A4C" w:rsidRDefault="00AC1B3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As.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drd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Ioana RADU</w:t>
            </w:r>
            <w:r w:rsidR="00FF1A19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7FC2336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57E8142A" w14:textId="77777777" w:rsidR="002353A0" w:rsidRDefault="002353A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5D0A4C" w14:paraId="4EDB846E" w14:textId="77777777">
        <w:tc>
          <w:tcPr>
            <w:tcW w:w="0" w:type="auto"/>
            <w:hideMark/>
          </w:tcPr>
          <w:p w14:paraId="0EDF920E" w14:textId="77777777" w:rsidR="005D0A4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1F2E8D8" w14:textId="77777777" w:rsidR="005D0A4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0523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890523">
              <w:rPr>
                <w:rFonts w:eastAsia="Times New Roman"/>
                <w:color w:val="000000"/>
              </w:rPr>
              <w:t>habil</w:t>
            </w:r>
            <w:proofErr w:type="spellEnd"/>
            <w:r w:rsidRPr="00890523">
              <w:rPr>
                <w:rFonts w:eastAsia="Times New Roman"/>
                <w:color w:val="000000"/>
              </w:rPr>
              <w:t>. Mihail-Lucian BIRSA</w:t>
            </w:r>
          </w:p>
        </w:tc>
      </w:tr>
    </w:tbl>
    <w:p w14:paraId="56744142" w14:textId="77777777" w:rsidR="00465302" w:rsidRDefault="00465302">
      <w:pPr>
        <w:rPr>
          <w:rFonts w:eastAsia="Times New Roman"/>
        </w:rPr>
      </w:pPr>
    </w:p>
    <w:sectPr w:rsidR="0046530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EEC"/>
    <w:multiLevelType w:val="multilevel"/>
    <w:tmpl w:val="3A9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87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67"/>
    <w:rsid w:val="00136EC6"/>
    <w:rsid w:val="002353A0"/>
    <w:rsid w:val="002B3AD5"/>
    <w:rsid w:val="002E7F65"/>
    <w:rsid w:val="00465302"/>
    <w:rsid w:val="00491C67"/>
    <w:rsid w:val="005D0A4C"/>
    <w:rsid w:val="005F1960"/>
    <w:rsid w:val="007A358E"/>
    <w:rsid w:val="008570FD"/>
    <w:rsid w:val="00890523"/>
    <w:rsid w:val="008910A4"/>
    <w:rsid w:val="009147FC"/>
    <w:rsid w:val="00916167"/>
    <w:rsid w:val="00937C6F"/>
    <w:rsid w:val="00AC1B3B"/>
    <w:rsid w:val="00B242F7"/>
    <w:rsid w:val="00B9356D"/>
    <w:rsid w:val="00C549EE"/>
    <w:rsid w:val="00D430D8"/>
    <w:rsid w:val="00EB7C10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621FE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Aurel PUI</cp:lastModifiedBy>
  <cp:revision>4</cp:revision>
  <dcterms:created xsi:type="dcterms:W3CDTF">2024-10-02T11:22:00Z</dcterms:created>
  <dcterms:modified xsi:type="dcterms:W3CDTF">2024-10-04T08:08:00Z</dcterms:modified>
</cp:coreProperties>
</file>