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  <w:r>
        <w:rPr>
          <w:rFonts w:eastAsia="Times New Roman"/>
          <w:color w:val="000000"/>
          <w:sz w:val="22"/>
          <w:szCs w:val="22"/>
          <w:lang w:val="en-US"/>
        </w:rPr>
        <w:t> </w:t>
      </w:r>
      <w:r w:rsidR="00506A55"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916566">
      <w:pPr>
        <w:pStyle w:val="titludiscplan"/>
        <w:rPr>
          <w:lang w:val="en-US"/>
        </w:rPr>
      </w:pPr>
      <w:r>
        <w:rPr>
          <w:lang w:val="en-US"/>
        </w:rPr>
        <w:t>FIŞA DISCIPLINEI</w:t>
      </w: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cosmetică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Conf. dr. Dorina </w:t>
            </w:r>
            <w:r>
              <w:rPr>
                <w:b/>
                <w:sz w:val="20"/>
                <w:szCs w:val="20"/>
              </w:rPr>
              <w:t>AMĂRIUCĂI-MANTU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Conf. dr. Dorina AMĂRIUCĂI-MANTU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916566">
      <w:pPr>
        <w:pStyle w:val="continut"/>
        <w:ind w:left="400"/>
        <w:rPr>
          <w:color w:val="000000"/>
          <w:sz w:val="17"/>
          <w:szCs w:val="17"/>
          <w:lang w:val="en-US"/>
        </w:rPr>
      </w:pPr>
      <w:r>
        <w:rPr>
          <w:color w:val="000000"/>
          <w:sz w:val="17"/>
          <w:szCs w:val="17"/>
          <w:vertAlign w:val="superscript"/>
          <w:lang w:val="en-US"/>
        </w:rPr>
        <w:t>*</w:t>
      </w:r>
      <w:r>
        <w:rPr>
          <w:i/>
          <w:iCs/>
          <w:color w:val="000000"/>
          <w:sz w:val="17"/>
          <w:szCs w:val="17"/>
          <w:lang w:val="en-US"/>
        </w:rPr>
        <w:t>OB – Obligatoriu / OP – Opţional / F – Facultativ</w:t>
      </w:r>
    </w:p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en-US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4. Precondiţii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Nu este cazul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Nu este cazul</w:t>
            </w:r>
          </w:p>
        </w:tc>
      </w:tr>
    </w:tbl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5. Condiţii </w:t>
      </w:r>
      <w:r>
        <w:rPr>
          <w:b w:val="0"/>
          <w:bCs w:val="0"/>
          <w:color w:val="000000"/>
          <w:sz w:val="22"/>
          <w:szCs w:val="22"/>
          <w:lang w:val="en-US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16566">
            <w:pPr>
              <w:ind w:left="5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>Prezența la laborator este obligatorie. Recuperarea este permisă în limita a două laboratoare, cu altă grupă, pe pa</w:t>
            </w:r>
            <w:r>
              <w:rPr>
                <w:noProof/>
                <w:sz w:val="20"/>
                <w:szCs w:val="20"/>
                <w:lang w:val="fr-FR"/>
              </w:rPr>
              <w:t>rcursul aceleiași săptămâni.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Studenţii se vor prezenta în laborator cu halat, mănuși, cârpă de laborator, iar lucrarea de laborator/suport seminar vor fi printate.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substanţelor şi aparaturii, analiza critică a metodelor şi tehnicilor, interpretarea rezultatelor experimentale şi corelarea cu acţiunea farmacologică şi biologică a produselor chimice, farmaceutice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  <w:lang w:val="en-US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Structura cursului este concepută după o programă analitică nouă, cuprinzând şi unele completări la aceasta, completări care fac trecerea de la domeniul tipic al chimiei organice, parcurs în facultate, la aplicațiile acesteia în cosm</w:t>
            </w:r>
            <w:r>
              <w:rPr>
                <w:sz w:val="20"/>
                <w:szCs w:val="20"/>
                <w:lang w:val="it-IT"/>
              </w:rPr>
              <w:t xml:space="preserve">etică și domenii conexe. </w:t>
            </w:r>
            <w:r>
              <w:rPr>
                <w:sz w:val="20"/>
                <w:szCs w:val="20"/>
              </w:rPr>
              <w:t>Cursul urmăreşte recunoaşterea şi descrierea conceptelor, abordărilor, teoriilor, metodelor şi modelelor elementare privitoare la structura şi reactivitatea compuşilor cosmetici, explicarea și interpretarea unor teorii, modele și n</w:t>
            </w:r>
            <w:r>
              <w:rPr>
                <w:sz w:val="20"/>
                <w:szCs w:val="20"/>
              </w:rPr>
              <w:t>oţiuni fundamentale de structură şi reactivitate a compuşilor chimici cosmetici, precum şi identificarea aspectelor transdisciplinare cu domenii conexe chimiei cosmetice precum sunt biologia, fizica şi informatica. De asemenea, se va urmări şi identificare</w:t>
            </w:r>
            <w:r>
              <w:rPr>
                <w:sz w:val="20"/>
                <w:szCs w:val="20"/>
              </w:rPr>
              <w:t>a metodelor şi tehnicilor, a materialelor, substanţelor şi aparaturii specifice, necesare pentru efectuarea unor experimente de laborator.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000000" w:rsidRDefault="00916566">
            <w:pPr>
              <w:pStyle w:val="ColorfulList-Accent1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plice noţiun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ile fundamentale pentru rezolvarea problemelor asociate structurii și reactivităţii compuşilor organici utilizați în industria cosmetică;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000000" w:rsidRDefault="00916566">
            <w:pPr>
              <w:pStyle w:val="ColorfulList-Accent1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Identifice metodele şi tehnicile, materialele, substanţele şi aparatura necesară pentru efectuarea unor experimente s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pecifice chimiei cosmetice, în vedrea optimizării și eficientizării protocoalelor de sinteză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:rsidR="00000000" w:rsidRDefault="00916566">
            <w:pPr>
              <w:pStyle w:val="ColorfulList-Accent11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Explice și să interpreteze o serie de proprietăţi, concepte, teorii, modele și noţiuni fundamentale privind produsele cosmetice;</w:t>
            </w:r>
          </w:p>
          <w:p w:rsidR="00000000" w:rsidRDefault="0091656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Descrie şi să interpreteze experimente de laborator.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Definiţia  și clasificarea produselor cosmetice. Ingrediente cosmetice autorizate.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[1, 2, 5, 6])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Materii prime pentru obţinerea produselor cosmetice.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[2, 5, , 7, 8])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Materii auxiliare pentru obţinerea produselor</w:t>
            </w:r>
            <w:r>
              <w:rPr>
                <w:sz w:val="20"/>
                <w:szCs w:val="20"/>
              </w:rPr>
              <w:t xml:space="preserve"> cosmetice.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[2, 4, 5, 8])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Substanțe oxidante și substanțe reducătoare în produsele cosmetice.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[1-4])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Coloran</w:t>
            </w:r>
            <w:r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 și pigmenți utilizați în cosmetică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[1, 8, 9])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Emolienți. Substanțe active antiperspirante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[2, 6, 8, 9])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Odoranți și aromatizanți folosiți în cosmetică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[1, 3, 4, 9])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şi îmbătrânirea pielii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 pentru îngrijirea epidermei: compoziţie şi proprietăţi</w:t>
            </w:r>
          </w:p>
          <w:p w:rsidR="00000000" w:rsidRDefault="009165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</w:t>
            </w:r>
            <w:r>
              <w:rPr>
                <w:sz w:val="20"/>
                <w:szCs w:val="20"/>
              </w:rPr>
              <w:t xml:space="preserve">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[1, 5, 7, 9])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Săpunuri de toaletă şi produse pentru baie. Compoziţie şi proprietăţi.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Deodorante şi antiperspirante.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Produse pentru plajă: creme si emulsii pentru bronzare, pentru calmarea </w:t>
            </w:r>
            <w:r>
              <w:rPr>
                <w:sz w:val="20"/>
                <w:szCs w:val="20"/>
              </w:rPr>
              <w:t>arsurilor. Compoziţie şi proprietăţi.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[2-5, 8])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Loțiuni (anti-acnee, demachiante, după ras, calmante după depilare ).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 de fardare: pudre, fond de ten, fond obraz, roşu de buze, rimel   pentru pleoape, tuş pentru pleoape. Compoziţie şi proprietăţi.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[1-3, 5, 8])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Produse de colorare a părului. </w:t>
            </w:r>
            <w:r>
              <w:rPr>
                <w:sz w:val="20"/>
                <w:szCs w:val="20"/>
              </w:rPr>
              <w:t xml:space="preserve">Compoziţie şi proprietăţi. </w:t>
            </w:r>
            <w:r>
              <w:rPr>
                <w:spacing w:val="-4"/>
                <w:sz w:val="20"/>
                <w:szCs w:val="20"/>
              </w:rPr>
              <w:t>Şampoane, produse de condiţionare şi ondulare a părului. Compoziţie şi proprietăţi.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[2, 3, 5, 6])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Antioxidanţi: extract de ceai verde, ceai alb, sâmburi de struguri, alge, afine  si coacăze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[1-2, 5, 9])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 de igienă orală: compoziţie şi proprietăţi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</w:t>
            </w:r>
            <w:r>
              <w:rPr>
                <w:sz w:val="20"/>
                <w:szCs w:val="20"/>
              </w:rPr>
              <w:t>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[2, 3, 6, 8])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Metode de analiză și control a calității produselor cosmetice.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ore, [2, 3, 5, 8])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Bibliografie</w:t>
            </w:r>
          </w:p>
          <w:p w:rsidR="00000000" w:rsidRDefault="00916566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LOCHHEAD: </w:t>
            </w:r>
            <w:r>
              <w:rPr>
                <w:i/>
                <w:iCs/>
                <w:sz w:val="20"/>
                <w:szCs w:val="20"/>
              </w:rPr>
              <w:t>Cosmetic Chemistry</w:t>
            </w:r>
            <w:r>
              <w:rPr>
                <w:sz w:val="20"/>
                <w:szCs w:val="20"/>
              </w:rPr>
              <w:t>, American Chemical Society, 2022.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KUMARI: </w:t>
            </w:r>
            <w:r>
              <w:rPr>
                <w:i/>
                <w:iCs/>
                <w:sz w:val="20"/>
                <w:szCs w:val="20"/>
              </w:rPr>
              <w:t>Chemistry of Cosmetics</w:t>
            </w:r>
            <w:r>
              <w:rPr>
                <w:sz w:val="20"/>
                <w:szCs w:val="20"/>
              </w:rPr>
              <w:t>, Prestige Publishers, 2018.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bidi="th-TH"/>
              </w:rPr>
              <w:t xml:space="preserve">K.H. Can </w:t>
            </w:r>
            <w:r>
              <w:rPr>
                <w:rFonts w:eastAsia="Times New Roman"/>
                <w:caps/>
                <w:sz w:val="20"/>
                <w:szCs w:val="20"/>
                <w:lang w:bidi="th-TH"/>
              </w:rPr>
              <w:t xml:space="preserve">Baser, </w:t>
            </w:r>
            <w:r>
              <w:rPr>
                <w:rFonts w:eastAsia="Times New Roman"/>
                <w:sz w:val="20"/>
                <w:szCs w:val="20"/>
                <w:lang w:bidi="th-TH"/>
              </w:rPr>
              <w:t xml:space="preserve">G. </w:t>
            </w:r>
            <w:r>
              <w:rPr>
                <w:rFonts w:eastAsia="Times New Roman"/>
                <w:caps/>
                <w:sz w:val="20"/>
                <w:szCs w:val="20"/>
                <w:lang w:bidi="th-TH"/>
              </w:rPr>
              <w:t xml:space="preserve">Buchbauer, </w:t>
            </w:r>
            <w:r>
              <w:rPr>
                <w:rFonts w:eastAsia="Times New Roman"/>
                <w:i/>
                <w:iCs/>
                <w:sz w:val="20"/>
                <w:szCs w:val="20"/>
                <w:lang w:bidi="th-TH"/>
              </w:rPr>
              <w:t>Handbook of Essential Oils Science, Technology and Applications</w:t>
            </w:r>
            <w:r>
              <w:rPr>
                <w:rFonts w:eastAsia="Times New Roman"/>
                <w:sz w:val="20"/>
                <w:szCs w:val="20"/>
                <w:lang w:bidi="th-TH"/>
              </w:rPr>
              <w:t>, CRC Press Taylor &amp; Francis Group, 2010.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Style w:val="smaller1"/>
                <w:rFonts w:ascii="Times New Roman" w:hAnsi="Times New Roman" w:cs="Times New Roman"/>
                <w:sz w:val="20"/>
                <w:szCs w:val="20"/>
              </w:rPr>
              <w:lastRenderedPageBreak/>
              <w:t>A. SALVADOR, A. CHISVERT</w:t>
            </w:r>
            <w:r>
              <w:rPr>
                <w:rStyle w:val="smaller1"/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Style w:val="smaller1"/>
                <w:rFonts w:ascii="Times New Roman" w:hAnsi="Times New Roman" w:cs="Times New Roman"/>
                <w:i/>
                <w:sz w:val="20"/>
                <w:szCs w:val="20"/>
              </w:rPr>
              <w:t>Analysis of cosmetic products</w:t>
            </w:r>
            <w:r>
              <w:rPr>
                <w:sz w:val="20"/>
                <w:szCs w:val="20"/>
              </w:rPr>
              <w:t>, Elsevier B.V., 2007.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G. JUNGHIETU, </w:t>
            </w:r>
            <w:hyperlink r:id="rId6" w:history="1">
              <w:r>
                <w:rPr>
                  <w:rStyle w:val="Hyperlink"/>
                  <w:i/>
                  <w:color w:val="auto"/>
                  <w:sz w:val="20"/>
                  <w:szCs w:val="20"/>
                  <w:u w:val="none"/>
                </w:rPr>
                <w:t>Chimie cosmetică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>CEUSM</w:t>
              </w:r>
            </w:hyperlink>
            <w:r>
              <w:rPr>
                <w:sz w:val="20"/>
                <w:szCs w:val="20"/>
              </w:rPr>
              <w:t>, Chişinău, 2003.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bidi="th-TH"/>
              </w:rPr>
              <w:t xml:space="preserve">A.O. </w:t>
            </w:r>
            <w:r>
              <w:rPr>
                <w:rFonts w:eastAsia="Times New Roman"/>
                <w:caps/>
                <w:sz w:val="20"/>
                <w:szCs w:val="20"/>
                <w:lang w:bidi="th-TH"/>
              </w:rPr>
              <w:t>Barel</w:t>
            </w:r>
            <w:r>
              <w:rPr>
                <w:rFonts w:eastAsia="Times New Roman"/>
                <w:sz w:val="20"/>
                <w:szCs w:val="20"/>
                <w:lang w:bidi="th-TH"/>
              </w:rPr>
              <w:t xml:space="preserve">, M. </w:t>
            </w:r>
            <w:r>
              <w:rPr>
                <w:rFonts w:eastAsia="Times New Roman"/>
                <w:caps/>
                <w:sz w:val="20"/>
                <w:szCs w:val="20"/>
                <w:lang w:bidi="th-TH"/>
              </w:rPr>
              <w:t>Paye</w:t>
            </w:r>
            <w:r>
              <w:rPr>
                <w:rFonts w:eastAsia="Times New Roman"/>
                <w:sz w:val="20"/>
                <w:szCs w:val="20"/>
                <w:lang w:bidi="th-TH"/>
              </w:rPr>
              <w:t xml:space="preserve">, H.I. </w:t>
            </w:r>
            <w:r>
              <w:rPr>
                <w:rFonts w:eastAsia="Times New Roman"/>
                <w:caps/>
                <w:sz w:val="20"/>
                <w:szCs w:val="20"/>
                <w:lang w:bidi="th-TH"/>
              </w:rPr>
              <w:t>Maibach</w:t>
            </w:r>
            <w:r>
              <w:rPr>
                <w:rFonts w:eastAsia="Times New Roman"/>
                <w:sz w:val="20"/>
                <w:szCs w:val="20"/>
                <w:lang w:bidi="th-TH"/>
              </w:rPr>
              <w:t xml:space="preserve">, </w:t>
            </w:r>
            <w:r>
              <w:rPr>
                <w:rFonts w:eastAsia="Times New Roman"/>
                <w:i/>
                <w:iCs/>
                <w:sz w:val="20"/>
                <w:szCs w:val="20"/>
                <w:lang w:bidi="th-TH"/>
              </w:rPr>
              <w:t>Handbook of Cosmetic Science and</w:t>
            </w:r>
            <w:r>
              <w:rPr>
                <w:rFonts w:eastAsia="Times New Roman"/>
                <w:sz w:val="20"/>
                <w:szCs w:val="20"/>
                <w:lang w:bidi="th-TH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lang w:bidi="th-TH"/>
              </w:rPr>
              <w:t>Technology</w:t>
            </w:r>
            <w:r>
              <w:rPr>
                <w:rFonts w:eastAsia="Times New Roman"/>
                <w:sz w:val="20"/>
                <w:szCs w:val="20"/>
                <w:lang w:bidi="th-TH"/>
              </w:rPr>
              <w:t xml:space="preserve">, </w:t>
            </w:r>
            <w:r>
              <w:rPr>
                <w:sz w:val="20"/>
                <w:szCs w:val="20"/>
                <w:lang w:bidi="th-TH"/>
              </w:rPr>
              <w:t>Marcel Dekker</w:t>
            </w:r>
            <w:r>
              <w:rPr>
                <w:sz w:val="20"/>
                <w:szCs w:val="20"/>
              </w:rPr>
              <w:t xml:space="preserve"> Inc. New York , Basel, </w:t>
            </w:r>
            <w:r>
              <w:rPr>
                <w:sz w:val="20"/>
                <w:szCs w:val="20"/>
                <w:lang w:bidi="th-TH"/>
              </w:rPr>
              <w:t>2001.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</w:t>
            </w:r>
            <w:r>
              <w:rPr>
                <w:caps/>
                <w:sz w:val="20"/>
                <w:szCs w:val="20"/>
              </w:rPr>
              <w:t>Elsner,</w:t>
            </w:r>
            <w:r>
              <w:rPr>
                <w:sz w:val="20"/>
                <w:szCs w:val="20"/>
              </w:rPr>
              <w:t xml:space="preserve"> H.I</w:t>
            </w:r>
            <w:r>
              <w:rPr>
                <w:caps/>
                <w:sz w:val="20"/>
                <w:szCs w:val="20"/>
              </w:rPr>
              <w:t>. Maibach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Cosmeceuticals:Drugs vs Cosmetics</w:t>
            </w:r>
            <w:r>
              <w:rPr>
                <w:sz w:val="20"/>
                <w:szCs w:val="20"/>
              </w:rPr>
              <w:t>, Marcel Dekker, Inc. New York, 2000.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rStyle w:val="text31"/>
                <w:rFonts w:ascii="Times New Roman" w:hAnsi="Times New Roman" w:cs="Times New Roman" w:hint="default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MERICĂ, </w:t>
            </w:r>
            <w:r>
              <w:rPr>
                <w:i/>
                <w:sz w:val="20"/>
                <w:szCs w:val="20"/>
              </w:rPr>
              <w:t xml:space="preserve">Tehnologia produselor </w:t>
            </w:r>
            <w:r>
              <w:rPr>
                <w:rStyle w:val="text31"/>
                <w:rFonts w:ascii="Times New Roman" w:hAnsi="Times New Roman" w:cs="Times New Roman" w:hint="default"/>
                <w:b w:val="0"/>
                <w:bCs w:val="0"/>
                <w:i/>
                <w:color w:val="auto"/>
                <w:sz w:val="20"/>
                <w:szCs w:val="20"/>
              </w:rPr>
              <w:t>cosm</w:t>
            </w:r>
            <w:r>
              <w:rPr>
                <w:rStyle w:val="text31"/>
                <w:rFonts w:ascii="Times New Roman" w:hAnsi="Times New Roman" w:cs="Times New Roman" w:hint="default"/>
                <w:b w:val="0"/>
                <w:bCs w:val="0"/>
                <w:i/>
                <w:color w:val="auto"/>
                <w:sz w:val="20"/>
                <w:szCs w:val="20"/>
              </w:rPr>
              <w:t>etice</w:t>
            </w:r>
            <w:r>
              <w:rPr>
                <w:rStyle w:val="text31"/>
                <w:rFonts w:ascii="Times New Roman" w:hAnsi="Times New Roman" w:cs="Times New Roman" w:hint="default"/>
                <w:b w:val="0"/>
                <w:bCs w:val="0"/>
                <w:color w:val="auto"/>
                <w:sz w:val="20"/>
                <w:szCs w:val="20"/>
              </w:rPr>
              <w:t>, Ed. Corson, 2000.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0"/>
                <w:szCs w:val="20"/>
              </w:rPr>
              <w:t xml:space="preserve">S. VOICULESCU, </w:t>
            </w:r>
            <w:hyperlink r:id="rId8" w:history="1">
              <w:r>
                <w:rPr>
                  <w:rStyle w:val="Hyperlink"/>
                  <w:i/>
                  <w:color w:val="auto"/>
                  <w:sz w:val="20"/>
                  <w:szCs w:val="20"/>
                  <w:u w:val="none"/>
                </w:rPr>
                <w:t>Chimie cosmetică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ș</w:t>
            </w:r>
            <w:r>
              <w:rPr>
                <w:i/>
                <w:sz w:val="20"/>
                <w:szCs w:val="20"/>
              </w:rPr>
              <w:t>i produse de specialitate</w:t>
            </w:r>
            <w:r>
              <w:rPr>
                <w:sz w:val="20"/>
                <w:szCs w:val="20"/>
              </w:rPr>
              <w:t>, Ed. Didactică și Pedagogică, București, 1976.</w:t>
            </w:r>
          </w:p>
          <w:p w:rsidR="00000000" w:rsidRDefault="0091656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AMĂRIUCĂI-MANTU: Chimie cosmetică, suport de curs.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Norme de protecţie a muncii în laboratorul de chimie cosmetică. Caracterizarea unor materii prime folosite în cosmetică. Determinarea indicilor ce caracterizează lipidele (indice de aciditate, indice de saponificare, indice de iod).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Explicaţia; Exercițiu, </w:t>
            </w:r>
            <w:r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[1], referat de laborator)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Prepararea și caracterizarea săpunului.</w:t>
            </w:r>
          </w:p>
          <w:p w:rsidR="00000000" w:rsidRDefault="0091656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Determinarea pH-ului pentru diverse probe de săpun și șampon.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[1,2], referat de laborator)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Determin</w:t>
            </w:r>
            <w:r>
              <w:rPr>
                <w:sz w:val="20"/>
                <w:szCs w:val="20"/>
                <w:lang w:eastAsia="zh-CN"/>
              </w:rPr>
              <w:t>area tipului de emulsie a cremelor</w:t>
            </w:r>
            <w:r>
              <w:rPr>
                <w:sz w:val="20"/>
                <w:szCs w:val="20"/>
              </w:rPr>
              <w:t>.</w:t>
            </w:r>
          </w:p>
          <w:p w:rsidR="00000000" w:rsidRDefault="0091656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Formularea unei creme cosmetice pe bază de stearați. Formularea unei cold-creme.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[1, 3], referat de laborator)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Determinarea formaldehidei din produsele cosm</w:t>
            </w:r>
            <w:r>
              <w:rPr>
                <w:sz w:val="20"/>
                <w:szCs w:val="20"/>
              </w:rPr>
              <w:t>etice. Identificarea agenților de conservare din compoziția produselor cosmetice cu ajutorul  cromatografiei în strat subțire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[4, 5], referat de laborator)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Utilizarea cromatografiei în strat subțire pentru identificarea unor principii active (cafeina, taurina, L-arginina) din compoziția șampoanelor antialopeciante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[2, 7], referat de laborator)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Ac</w:t>
            </w:r>
            <w:r>
              <w:rPr>
                <w:sz w:val="20"/>
                <w:szCs w:val="20"/>
              </w:rPr>
              <w:t>tivitate de seminar. Probleme de calcul numeric: determinare indici de calitate lipide, determinare compoziție chimică detergenți. Considerații teoretice (mecanism și aplicații) pentru reacția de saponificare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</w:t>
            </w:r>
            <w:r>
              <w:rPr>
                <w:sz w:val="20"/>
                <w:szCs w:val="20"/>
              </w:rPr>
              <w:t>1], referat de laborator)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Interpretarea rezultatelor obținute în cadrul experimentelor practice. Evaluare finală activitate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ore, [4])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Bibliografie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de referate cu parte teoretică, protocol de lu</w:t>
            </w:r>
            <w:r>
              <w:rPr>
                <w:sz w:val="22"/>
                <w:szCs w:val="22"/>
              </w:rPr>
              <w:t>cru şi mod de interpretare a rezultatelor.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CERNĂTESCU: </w:t>
            </w:r>
            <w:r>
              <w:rPr>
                <w:i/>
                <w:sz w:val="22"/>
                <w:szCs w:val="22"/>
              </w:rPr>
              <w:t>Tehnologia produselor cosmetice</w:t>
            </w:r>
            <w:r>
              <w:rPr>
                <w:sz w:val="22"/>
                <w:szCs w:val="22"/>
              </w:rPr>
              <w:t>, Ed. Pim, Iași, 2016.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Tarun, J. Susan, J. suria et all: </w:t>
            </w:r>
            <w:r>
              <w:rPr>
                <w:i/>
                <w:iCs/>
                <w:sz w:val="22"/>
                <w:szCs w:val="22"/>
              </w:rPr>
              <w:t>Evaluation of pH of bathing soaps and shampoos for skin and hair care</w:t>
            </w:r>
            <w:r>
              <w:rPr>
                <w:sz w:val="22"/>
                <w:szCs w:val="22"/>
              </w:rPr>
              <w:t xml:space="preserve">, Indian J. </w:t>
            </w:r>
            <w:r>
              <w:rPr>
                <w:sz w:val="22"/>
                <w:szCs w:val="22"/>
              </w:rPr>
              <w:t>Dermatol., 59(5), 442-444, 2014.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EMULSIONS: Definition, classification and identification of types of emulsions and more, available from </w:t>
            </w:r>
            <w:r>
              <w:rPr>
                <w:i/>
                <w:iCs/>
                <w:sz w:val="22"/>
                <w:szCs w:val="22"/>
              </w:rPr>
              <w:t xml:space="preserve">Pharmacy </w:t>
            </w:r>
            <w:r>
              <w:rPr>
                <w:i/>
                <w:iCs/>
                <w:sz w:val="20"/>
                <w:szCs w:val="20"/>
              </w:rPr>
              <w:t>Guideline</w:t>
            </w:r>
            <w:r>
              <w:rPr>
                <w:sz w:val="20"/>
                <w:szCs w:val="20"/>
              </w:rPr>
              <w:t xml:space="preserve">, </w:t>
            </w:r>
            <w:hyperlink r:id="rId9" w:history="1">
              <w:r>
                <w:rPr>
                  <w:rStyle w:val="Hyperlink"/>
                  <w:sz w:val="20"/>
                  <w:szCs w:val="20"/>
                </w:rPr>
                <w:t>https://www.pharmacyguidel</w:t>
              </w:r>
              <w:r>
                <w:rPr>
                  <w:rStyle w:val="Hyperlink"/>
                  <w:sz w:val="20"/>
                  <w:szCs w:val="20"/>
                </w:rPr>
                <w:t>ine.com/2022/01/emulsions.html</w:t>
              </w:r>
            </w:hyperlink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Cabaleiro, I. de la Calle, C. Bendicho, I. Lavilla: </w:t>
            </w:r>
            <w:r>
              <w:rPr>
                <w:rStyle w:val="title-text"/>
                <w:i/>
                <w:iCs/>
                <w:color w:val="1F1F1F"/>
                <w:sz w:val="20"/>
                <w:szCs w:val="20"/>
              </w:rPr>
              <w:t>An overview of sample preparation for the determination of parabens in cosmetics</w:t>
            </w:r>
            <w:r>
              <w:rPr>
                <w:rStyle w:val="title-text"/>
                <w:color w:val="1F1F1F"/>
                <w:sz w:val="20"/>
                <w:szCs w:val="20"/>
              </w:rPr>
              <w:t>, Trends Anal. Chem., 57, 34-46, 2014.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Garner, I. Eilks, A. Siol: </w:t>
            </w:r>
            <w:r>
              <w:rPr>
                <w:i/>
                <w:iCs/>
                <w:sz w:val="22"/>
                <w:szCs w:val="22"/>
              </w:rPr>
              <w:t>Parabens as preservat</w:t>
            </w:r>
            <w:r>
              <w:rPr>
                <w:i/>
                <w:iCs/>
                <w:sz w:val="22"/>
                <w:szCs w:val="22"/>
              </w:rPr>
              <w:t>ives in personal care products</w:t>
            </w:r>
            <w:r>
              <w:rPr>
                <w:sz w:val="22"/>
                <w:szCs w:val="22"/>
              </w:rPr>
              <w:t>, Chemistry in action, 103, 38-43, 2014.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color w:val="111111"/>
                <w:kern w:val="36"/>
                <w:sz w:val="22"/>
                <w:szCs w:val="22"/>
              </w:rPr>
              <w:t xml:space="preserve">A. Melero, A.J. Guillot, C. Carneiro, H. Nuñez-Sanchez: </w:t>
            </w:r>
            <w:r>
              <w:rPr>
                <w:rFonts w:eastAsia="Times New Roman"/>
                <w:i/>
                <w:iCs/>
                <w:color w:val="111111"/>
                <w:kern w:val="36"/>
                <w:sz w:val="22"/>
                <w:szCs w:val="22"/>
              </w:rPr>
              <w:t>Caffeine analysis and extraction from a topical cream intended for UV-skin protection</w:t>
            </w:r>
            <w:r>
              <w:rPr>
                <w:rFonts w:eastAsia="Times New Roman"/>
                <w:color w:val="111111"/>
                <w:kern w:val="36"/>
                <w:sz w:val="22"/>
                <w:szCs w:val="22"/>
              </w:rPr>
              <w:t>, J. Dispers. Sci. Tecnol., 43(2), 1-7, 2020</w:t>
            </w:r>
            <w:r>
              <w:rPr>
                <w:rFonts w:eastAsia="Times New Roman"/>
                <w:color w:val="111111"/>
                <w:kern w:val="36"/>
                <w:sz w:val="22"/>
                <w:szCs w:val="22"/>
              </w:rPr>
              <w:t>.</w:t>
            </w:r>
          </w:p>
          <w:p w:rsidR="00000000" w:rsidRDefault="009165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L. Busch, A.L. Klein, J.R. Schwartz et all: </w:t>
            </w:r>
            <w:r>
              <w:rPr>
                <w:i/>
                <w:iCs/>
                <w:color w:val="000000"/>
                <w:sz w:val="22"/>
                <w:szCs w:val="22"/>
              </w:rPr>
              <w:t>Follicular Delivery of Caffeine from a Shampoo for Hair Retention</w:t>
            </w:r>
            <w:r>
              <w:rPr>
                <w:color w:val="000000"/>
                <w:sz w:val="22"/>
                <w:szCs w:val="22"/>
              </w:rPr>
              <w:t>, Cosmetics, 10(4), 2-11, 2023.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9. Coroborarea conţinutului disciplinei cu aşteptările reprezentanţilor comunităţii, </w:t>
      </w:r>
      <w:r>
        <w:rPr>
          <w:color w:val="000000"/>
          <w:sz w:val="22"/>
          <w:szCs w:val="22"/>
          <w:lang w:val="en-US"/>
        </w:rPr>
        <w:t>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După parcurgerea şi promovarea disciplinei, studentul va avea cunoştinţele teoretice şi abilităţile practice pentru a </w:t>
            </w:r>
            <w:r>
              <w:rPr>
                <w:sz w:val="20"/>
                <w:szCs w:val="20"/>
              </w:rPr>
              <w:t>realiza o serie de analize chimice calitative şi cantitative ale produselor cosmetice.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pStyle w:val="subtitlu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Corectitudinea răspunsurilor în  discutarea </w:t>
            </w:r>
            <w:r>
              <w:rPr>
                <w:sz w:val="20"/>
                <w:szCs w:val="20"/>
              </w:rPr>
              <w:t>problematicii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Verificare periodică + 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Receptarea informaţiei ştiinţifice prin îmbinarea metodelor de comunicare orală  cu metodele de  învăţare prin descoperire, precum şi a celor de problematizare </w:t>
            </w:r>
            <w:r>
              <w:rPr>
                <w:spacing w:val="-6"/>
                <w:sz w:val="20"/>
                <w:szCs w:val="20"/>
              </w:rPr>
              <w:t>sau   de tip algoritmic</w:t>
            </w:r>
            <w:r>
              <w:rPr>
                <w:sz w:val="20"/>
                <w:szCs w:val="20"/>
              </w:rPr>
              <w:t xml:space="preserve">. Îndeplinirea obiectivelor practice.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916566">
            <w:pPr>
              <w:ind w:left="57"/>
              <w:jc w:val="center"/>
              <w:rPr>
                <w:sz w:val="20"/>
                <w:szCs w:val="20"/>
              </w:rPr>
            </w:pPr>
          </w:p>
          <w:p w:rsidR="00000000" w:rsidRDefault="00916566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Efectuarea lucrărilor de laborator este obligatorie.</w:t>
            </w:r>
          </w:p>
          <w:p w:rsidR="00000000" w:rsidRDefault="00916566">
            <w:pPr>
              <w:rPr>
                <w:sz w:val="20"/>
                <w:szCs w:val="20"/>
              </w:rPr>
            </w:pPr>
          </w:p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Verificare periodică + colocviu final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performanţă: </w:t>
            </w:r>
          </w:p>
          <w:p w:rsidR="00000000" w:rsidRDefault="00916566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Detalierea claselor şi caracteristicilor </w:t>
            </w:r>
            <w:r>
              <w:rPr>
                <w:sz w:val="20"/>
                <w:szCs w:val="20"/>
              </w:rPr>
              <w:t>produselor cosmetice studiate, a  materiilor prime utilizate în fabricarea lor, precum şi a metodelor de investigare a caracteristicilor de bază ale acestora; descrierea etapelor de formulare a unui produs cosmetic.</w:t>
            </w:r>
          </w:p>
          <w:p w:rsidR="00000000" w:rsidRDefault="00916566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Realizarea şi prezentarea unui proiect p</w:t>
            </w:r>
            <w:r>
              <w:rPr>
                <w:sz w:val="20"/>
                <w:szCs w:val="20"/>
              </w:rPr>
              <w:t>e o tema dată în cadrul laboratorului.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916566">
            <w:pPr>
              <w:spacing w:line="276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Reexaminarea sau mărirea de notă se va face din toată materia de curs.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1822"/>
        <w:gridCol w:w="8144"/>
      </w:tblGrid>
      <w:tr w:rsidR="00506A55" w:rsidTr="00506A5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A55" w:rsidRDefault="00506A5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</w:p>
          <w:p w:rsidR="00506A55" w:rsidRDefault="00506A55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02.10.2023 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6A55" w:rsidRDefault="00506A55">
            <w:pPr>
              <w:tabs>
                <w:tab w:val="left" w:pos="4221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    Titular de curs,                                        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</w:p>
          <w:p w:rsidR="00506A55" w:rsidRDefault="00506A55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Conf. dr. Dorina AMĂRIUCĂI-MANTU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      </w:t>
            </w:r>
            <w:r>
              <w:rPr>
                <w:sz w:val="22"/>
                <w:szCs w:val="22"/>
              </w:rPr>
              <w:t>Conf. dr. Dorina AMĂRIUCĂI-MANTU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p w:rsidR="00000000" w:rsidRDefault="00916566">
      <w:pPr>
        <w:rPr>
          <w:rFonts w:eastAsia="Times New Roman"/>
          <w:color w:val="000000"/>
          <w:sz w:val="22"/>
          <w:szCs w:val="2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165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916566" w:rsidRDefault="00916566">
      <w:pPr>
        <w:rPr>
          <w:rFonts w:eastAsia="Times New Roman"/>
          <w:lang w:val="en-US"/>
        </w:rPr>
      </w:pPr>
      <w:bookmarkStart w:id="0" w:name="_GoBack"/>
      <w:bookmarkEnd w:id="0"/>
    </w:p>
    <w:sectPr w:rsidR="0091656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5AF"/>
    <w:multiLevelType w:val="multilevel"/>
    <w:tmpl w:val="21B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30B8D"/>
    <w:multiLevelType w:val="multilevel"/>
    <w:tmpl w:val="7E2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C2827"/>
    <w:multiLevelType w:val="hybridMultilevel"/>
    <w:tmpl w:val="CED2D80E"/>
    <w:lvl w:ilvl="0" w:tplc="669CF5B6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8C145D0"/>
    <w:multiLevelType w:val="hybridMultilevel"/>
    <w:tmpl w:val="4FB8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06A55"/>
    <w:rsid w:val="00506A55"/>
    <w:rsid w:val="006D1DD0"/>
    <w:rsid w:val="00916566"/>
    <w:rsid w:val="00C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A2FFCB-793B-4ACB-9D42-D1BB9B1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b/>
      <w:bCs/>
      <w:kern w:val="36"/>
      <w:sz w:val="48"/>
      <w:szCs w:val="48"/>
    </w:rPr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</w:rPr>
  </w:style>
  <w:style w:type="character" w:customStyle="1" w:styleId="text31">
    <w:name w:val="text31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character" w:customStyle="1" w:styleId="smaller1">
    <w:name w:val="smaller1"/>
    <w:rPr>
      <w:rFonts w:ascii="Arial" w:hAnsi="Arial" w:cs="Arial" w:hint="default"/>
      <w:sz w:val="18"/>
      <w:szCs w:val="18"/>
    </w:rPr>
  </w:style>
  <w:style w:type="character" w:customStyle="1" w:styleId="title-text">
    <w:name w:val="title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193.231.13.10:8991/F/4TP7222397U63HK8HNDBBA8RJBBJEM3IYADA641FGKE7E4GJRV-70875?func=service&amp;doc_number=000477373&amp;line_number=0009&amp;service_type=TAG%22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_window(%22http://193.231.13.10:8991/F/4TP7222397U63HK8HNDBBA8RJBBJEM3IYADA641FGKE7E4GJRV-70877?func=service&amp;doc_number=000477373&amp;line_number=0010&amp;service_type=TAG%22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_window(%22http://193.231.13.10:8991/F/4TP7222397U63HK8HNDBBA8RJBBJEM3IYADA641FGKE7E4GJRV-70875?func=service&amp;doc_number=000477373&amp;line_number=0009&amp;service_type=TAG%22)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harmacyguideline.com/2022/01/emuls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2130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dcterms:created xsi:type="dcterms:W3CDTF">2023-10-31T06:07:00Z</dcterms:created>
  <dcterms:modified xsi:type="dcterms:W3CDTF">2023-10-31T06:07:00Z</dcterms:modified>
</cp:coreProperties>
</file>