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F9F5" w14:textId="77777777" w:rsidR="00970B07" w:rsidRPr="0046031F" w:rsidRDefault="00740868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 w:rsidRPr="0046031F">
        <w:rPr>
          <w:rFonts w:eastAsia="Times New Roman"/>
          <w:noProof/>
          <w:color w:val="000000"/>
          <w:sz w:val="22"/>
          <w:szCs w:val="22"/>
          <w:lang w:eastAsia="ro-RO"/>
        </w:rPr>
        <w:drawing>
          <wp:inline distT="0" distB="0" distL="0" distR="0" wp14:anchorId="63A007AF" wp14:editId="0D53B23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31F">
        <w:rPr>
          <w:rFonts w:eastAsia="Times New Roman"/>
          <w:color w:val="000000"/>
          <w:sz w:val="22"/>
          <w:szCs w:val="22"/>
        </w:rPr>
        <w:t> </w:t>
      </w:r>
      <w:r w:rsidRPr="0046031F">
        <w:rPr>
          <w:rFonts w:eastAsia="Times New Roman"/>
          <w:color w:val="000000"/>
          <w:sz w:val="22"/>
          <w:szCs w:val="22"/>
        </w:rPr>
        <w:br/>
        <w:t> </w:t>
      </w:r>
    </w:p>
    <w:p w14:paraId="7936D031" w14:textId="77777777" w:rsidR="00970B07" w:rsidRPr="0046031F" w:rsidRDefault="00740868">
      <w:pPr>
        <w:pStyle w:val="titludiscplan"/>
      </w:pPr>
      <w:r w:rsidRPr="0046031F">
        <w:t>FIŞA DISCIPLINEI</w:t>
      </w:r>
    </w:p>
    <w:p w14:paraId="46DDDDBD" w14:textId="77777777" w:rsidR="00970B07" w:rsidRPr="0046031F" w:rsidRDefault="00740868">
      <w:pPr>
        <w:pStyle w:val="subtitlu"/>
        <w:rPr>
          <w:color w:val="000000"/>
          <w:sz w:val="22"/>
          <w:szCs w:val="22"/>
        </w:rPr>
      </w:pPr>
      <w:r w:rsidRPr="0046031F"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70B07" w:rsidRPr="0046031F" w14:paraId="734C739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071E7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6E8761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70B07" w:rsidRPr="0046031F" w14:paraId="6B3630F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C7D5E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25A7D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70B07" w:rsidRPr="0046031F" w14:paraId="3C2073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027A56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1BE4AD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70B07" w:rsidRPr="0046031F" w14:paraId="7DD1E6F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BC73F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179C3F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70B07" w:rsidRPr="0046031F" w14:paraId="32BC92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976A66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D9B9DF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70B07" w:rsidRPr="0046031F" w14:paraId="00B3F02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5C6EF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D7EBE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1211CE2F" w14:textId="77777777" w:rsidR="00970B07" w:rsidRPr="0046031F" w:rsidRDefault="00970B07">
      <w:pPr>
        <w:rPr>
          <w:rFonts w:eastAsia="Times New Roman"/>
          <w:color w:val="000000"/>
          <w:sz w:val="22"/>
          <w:szCs w:val="22"/>
        </w:rPr>
      </w:pPr>
    </w:p>
    <w:p w14:paraId="501FAC43" w14:textId="77777777" w:rsidR="00970B07" w:rsidRPr="0046031F" w:rsidRDefault="00740868">
      <w:pPr>
        <w:pStyle w:val="subtitlu"/>
        <w:rPr>
          <w:color w:val="000000"/>
          <w:sz w:val="22"/>
          <w:szCs w:val="22"/>
        </w:rPr>
      </w:pPr>
      <w:r w:rsidRPr="0046031F"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70B07" w:rsidRPr="0046031F" w14:paraId="34770629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066F5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1ABAA3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Chimie computaţională şi termodinamică statistică</w:t>
            </w:r>
          </w:p>
        </w:tc>
      </w:tr>
      <w:tr w:rsidR="00970B07" w:rsidRPr="0046031F" w14:paraId="74576CD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431FA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E30EA" w14:textId="3AF04B2F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6031F" w:rsidRPr="0046031F">
              <w:rPr>
                <w:rFonts w:eastAsia="Times New Roman"/>
                <w:color w:val="000000"/>
                <w:sz w:val="20"/>
                <w:szCs w:val="20"/>
              </w:rPr>
              <w:t>CONF. DR. IONEL HUMELNICU, LECT. DR. MIHAI DUMITRAŞ</w:t>
            </w:r>
          </w:p>
        </w:tc>
      </w:tr>
      <w:tr w:rsidR="00970B07" w:rsidRPr="0046031F" w14:paraId="7F477A3D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F6E977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75C2A" w14:textId="578DF460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6031F" w:rsidRPr="0046031F">
              <w:rPr>
                <w:rFonts w:eastAsia="Times New Roman"/>
                <w:color w:val="000000"/>
                <w:sz w:val="20"/>
                <w:szCs w:val="20"/>
              </w:rPr>
              <w:t>CONF. DR. IONEL HUMELNICU, LECT. DR. MIHAI DUMITRAŞ</w:t>
            </w:r>
          </w:p>
        </w:tc>
      </w:tr>
      <w:tr w:rsidR="00970B07" w:rsidRPr="0046031F" w14:paraId="47B618DE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298532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E7C5EC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A0EB32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6B8566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988A6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2C260A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BC3063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 w:rsidRPr="0046031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992F3E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2FE4D118" w14:textId="77777777" w:rsidR="00970B07" w:rsidRPr="0046031F" w:rsidRDefault="00740868">
      <w:pPr>
        <w:pStyle w:val="continut"/>
        <w:ind w:left="400"/>
        <w:rPr>
          <w:color w:val="000000"/>
          <w:sz w:val="17"/>
          <w:szCs w:val="17"/>
        </w:rPr>
      </w:pPr>
      <w:r w:rsidRPr="0046031F">
        <w:rPr>
          <w:color w:val="000000"/>
          <w:sz w:val="17"/>
          <w:szCs w:val="17"/>
          <w:vertAlign w:val="superscript"/>
        </w:rPr>
        <w:t>*</w:t>
      </w:r>
      <w:r w:rsidRPr="0046031F"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78365464" w14:textId="77777777" w:rsidR="00970B07" w:rsidRPr="0046031F" w:rsidRDefault="00970B07">
      <w:pPr>
        <w:rPr>
          <w:rFonts w:eastAsia="Times New Roman"/>
          <w:color w:val="000000"/>
          <w:sz w:val="22"/>
          <w:szCs w:val="22"/>
        </w:rPr>
      </w:pPr>
    </w:p>
    <w:p w14:paraId="575075E4" w14:textId="77777777" w:rsidR="00970B07" w:rsidRPr="0046031F" w:rsidRDefault="00740868">
      <w:pPr>
        <w:pStyle w:val="subtitlu"/>
        <w:rPr>
          <w:color w:val="000000"/>
          <w:sz w:val="22"/>
          <w:szCs w:val="22"/>
        </w:rPr>
      </w:pPr>
      <w:r w:rsidRPr="0046031F">
        <w:rPr>
          <w:color w:val="000000"/>
          <w:sz w:val="22"/>
          <w:szCs w:val="22"/>
        </w:rPr>
        <w:t xml:space="preserve">3. Timpul total estimat </w:t>
      </w:r>
      <w:r w:rsidRPr="0046031F"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70B07" w:rsidRPr="0046031F" w14:paraId="3F9785A3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78584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5A030D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33EB5A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D8CF89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E8D91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A9C280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70B07" w:rsidRPr="0046031F" w14:paraId="53C8702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EE8F97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075160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9883A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7BBCF6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0D036F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49798A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970B07" w:rsidRPr="0046031F" w14:paraId="13FBA1C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3A43E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40C614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6031F" w:rsidRPr="0046031F" w14:paraId="6272322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7AA8E3" w14:textId="77777777" w:rsidR="0046031F" w:rsidRPr="0046031F" w:rsidRDefault="0046031F" w:rsidP="0046031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ADD285" w14:textId="62BC85DD" w:rsidR="0046031F" w:rsidRPr="0046031F" w:rsidRDefault="0046031F" w:rsidP="0046031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50</w:t>
            </w:r>
          </w:p>
        </w:tc>
      </w:tr>
      <w:tr w:rsidR="0046031F" w:rsidRPr="0046031F" w14:paraId="146570B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AC321" w14:textId="77777777" w:rsidR="0046031F" w:rsidRPr="0046031F" w:rsidRDefault="0046031F" w:rsidP="0046031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1CB556" w14:textId="40DD935A" w:rsidR="0046031F" w:rsidRPr="0046031F" w:rsidRDefault="0046031F" w:rsidP="0046031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20</w:t>
            </w:r>
          </w:p>
        </w:tc>
      </w:tr>
      <w:tr w:rsidR="0046031F" w:rsidRPr="0046031F" w14:paraId="22E855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A31453" w14:textId="77777777" w:rsidR="0046031F" w:rsidRPr="0046031F" w:rsidRDefault="0046031F" w:rsidP="0046031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4F6BD4" w14:textId="0CF042B4" w:rsidR="0046031F" w:rsidRPr="0046031F" w:rsidRDefault="0046031F" w:rsidP="0046031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16</w:t>
            </w:r>
          </w:p>
        </w:tc>
      </w:tr>
      <w:tr w:rsidR="0046031F" w:rsidRPr="0046031F" w14:paraId="48A8CCC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34F129" w14:textId="77777777" w:rsidR="0046031F" w:rsidRPr="0046031F" w:rsidRDefault="0046031F" w:rsidP="0046031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149519" w14:textId="24A856DF" w:rsidR="0046031F" w:rsidRPr="0046031F" w:rsidRDefault="0046031F" w:rsidP="0046031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</w:t>
            </w:r>
          </w:p>
        </w:tc>
      </w:tr>
      <w:tr w:rsidR="0046031F" w:rsidRPr="0046031F" w14:paraId="0DA29A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C5C3E5" w14:textId="77777777" w:rsidR="0046031F" w:rsidRPr="0046031F" w:rsidRDefault="0046031F" w:rsidP="0046031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F8DF7D" w14:textId="11B542C5" w:rsidR="0046031F" w:rsidRPr="0046031F" w:rsidRDefault="0046031F" w:rsidP="0046031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8</w:t>
            </w:r>
          </w:p>
        </w:tc>
      </w:tr>
      <w:tr w:rsidR="0046031F" w:rsidRPr="0046031F" w14:paraId="73CC5A1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25D8F" w14:textId="77777777" w:rsidR="0046031F" w:rsidRPr="0046031F" w:rsidRDefault="0046031F" w:rsidP="0046031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CC1849" w14:textId="34284734" w:rsidR="0046031F" w:rsidRPr="0046031F" w:rsidRDefault="0046031F" w:rsidP="0046031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970B07" w:rsidRPr="0046031F" w14:paraId="35C64A62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AA3A8C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A94B3E5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70B07" w:rsidRPr="0046031F" w14:paraId="5CF7FAD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07017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78D7B4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</w:tr>
      <w:tr w:rsidR="00970B07" w:rsidRPr="0046031F" w14:paraId="21D89CD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5E0961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9AA5D5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970B07" w:rsidRPr="0046031F" w14:paraId="3FDE55F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04DFDC" w14:textId="77777777" w:rsidR="00970B07" w:rsidRPr="0046031F" w:rsidRDefault="007408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 w:rsidRPr="0046031F"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C0CBDE8" w14:textId="77777777" w:rsidR="00970B07" w:rsidRPr="0046031F" w:rsidRDefault="007408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6031F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218BDB25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0D62CF1F" w14:textId="77777777" w:rsidR="0046031F" w:rsidRDefault="0046031F" w:rsidP="0046031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46031F" w14:paraId="3B70DC6F" w14:textId="77777777" w:rsidTr="0046031F">
        <w:trPr>
          <w:trHeight w:val="414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B07FFA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A57A2" w14:textId="77777777" w:rsidR="0046031F" w:rsidRDefault="0046031F" w:rsidP="00196DA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Termodinamică chimică; Cinetică chimică; Chimie cuantică</w:t>
            </w:r>
          </w:p>
        </w:tc>
      </w:tr>
      <w:tr w:rsidR="0046031F" w14:paraId="322B16D1" w14:textId="77777777" w:rsidTr="0046031F">
        <w:trPr>
          <w:trHeight w:val="37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C56E74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B5A10" w14:textId="77777777" w:rsidR="0046031F" w:rsidRDefault="0046031F" w:rsidP="00196DA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Abordarea interdisciplinară a unor teme din domeniul chimiei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A172545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24FD9DA3" w14:textId="77777777" w:rsidR="0046031F" w:rsidRDefault="0046031F" w:rsidP="0046031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46031F" w14:paraId="4BD8C993" w14:textId="77777777" w:rsidTr="0046031F">
        <w:trPr>
          <w:trHeight w:val="312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53A53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B6043" w14:textId="4175B97B" w:rsidR="0046031F" w:rsidRDefault="00AC6106" w:rsidP="00196DA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C6106">
              <w:rPr>
                <w:noProof/>
                <w:sz w:val="20"/>
              </w:rPr>
              <w:t>Sală de curs dotată cu videoproiector, conexiune la internet</w:t>
            </w:r>
          </w:p>
        </w:tc>
      </w:tr>
      <w:tr w:rsidR="0046031F" w14:paraId="720D8F18" w14:textId="77777777" w:rsidTr="0046031F">
        <w:trPr>
          <w:trHeight w:val="53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9E112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C531F" w14:textId="77777777" w:rsidR="0046031F" w:rsidRDefault="0046031F" w:rsidP="00196DA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lang w:val="fr-FR"/>
              </w:rPr>
              <w:t>Prezenţa este obligatorie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D378CD3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27222CEE" w14:textId="77777777" w:rsidR="0046031F" w:rsidRDefault="0046031F" w:rsidP="0046031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46031F" w14:paraId="2A4FE701" w14:textId="77777777" w:rsidTr="0046031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27BBA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F18388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46031F" w14:paraId="557D56FF" w14:textId="77777777" w:rsidTr="0046031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DC8BC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AB70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447F5658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64204269" w14:textId="77777777" w:rsidR="0046031F" w:rsidRDefault="0046031F" w:rsidP="0046031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46031F" w14:paraId="790ECC0A" w14:textId="77777777" w:rsidTr="0046031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0AB2F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D3F946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  <w:lang w:val="it-IT"/>
              </w:rPr>
              <w:t>Cursul prezintă elemente de bază ale chimiei computaţionale şi termodinamicii statistice. Lucrările practice includ aplicaţii numerice şi familiarizează studenţii cu metode reprezentative ale chimiei computaţionale şi termodinamicii statistice.</w:t>
            </w:r>
          </w:p>
        </w:tc>
      </w:tr>
      <w:tr w:rsidR="0046031F" w14:paraId="3578A1E4" w14:textId="77777777" w:rsidTr="0046031F">
        <w:trPr>
          <w:trHeight w:val="1228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6A520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9A274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20A1036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671CB9D0" w14:textId="77777777" w:rsidR="0046031F" w:rsidRDefault="0046031F" w:rsidP="0046031F">
            <w:pPr>
              <w:numPr>
                <w:ilvl w:val="0"/>
                <w:numId w:val="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 din punct de vedere al termodinamicii statistice şi chimiei computaţionale sistemele chimice</w:t>
            </w:r>
          </w:p>
          <w:p w14:paraId="5411445E" w14:textId="77777777" w:rsidR="0046031F" w:rsidRDefault="0046031F" w:rsidP="004603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 şi aplice principalele metode din termodinamica statistică şi chimia computaţională</w:t>
            </w:r>
          </w:p>
        </w:tc>
      </w:tr>
    </w:tbl>
    <w:p w14:paraId="6FE77633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1DAE8295" w14:textId="77777777" w:rsidR="0046031F" w:rsidRDefault="0046031F" w:rsidP="0046031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6031F" w14:paraId="4BDAA1AE" w14:textId="77777777" w:rsidTr="0046031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D451F0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84CC9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86AAB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50E7D5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6031F" w14:paraId="50CB8500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797F1B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E020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Distribuţia Maxwelliană a vitezelor moleculare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71A55C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r>
              <w:rPr>
                <w:sz w:val="20"/>
                <w:szCs w:val="20"/>
              </w:rPr>
              <w:t>conversaţie, explicaţie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17ED4" w14:textId="3046CED9" w:rsidR="0046031F" w:rsidRDefault="00AA027E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6031F" w14:paraId="02F1469E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A1FC0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0DEEB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Distribuţia Boltzmann a moleculelor după energii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54B2D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r>
              <w:rPr>
                <w:sz w:val="20"/>
                <w:szCs w:val="20"/>
              </w:rPr>
              <w:t>conversaţie, explicaţie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EABCB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46031F" w14:paraId="6F50ADBA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ED3E4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83D063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Legile gazelor ideale în perspectivă molecular-cinetică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DE286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r>
              <w:rPr>
                <w:sz w:val="20"/>
                <w:szCs w:val="20"/>
              </w:rPr>
              <w:t>conversaţie, explicaţie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C1BBDC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46031F" w14:paraId="6AC13B4B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AB5D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2BCCC1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Calculul numărului de molecule active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5AC3E8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r>
              <w:rPr>
                <w:sz w:val="20"/>
                <w:szCs w:val="20"/>
              </w:rPr>
              <w:t>conversaţie, explicaţie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1A732C" w14:textId="77777777" w:rsidR="0046031F" w:rsidRDefault="0046031F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46031F" w14:paraId="1F912442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0CA40F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E97F0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Ciocniri. Viteză de reacţie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17866B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r>
              <w:rPr>
                <w:sz w:val="20"/>
                <w:szCs w:val="20"/>
              </w:rPr>
              <w:t>conversaţie, explicaţie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8C5B23" w14:textId="77777777" w:rsidR="0046031F" w:rsidRDefault="0046031F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46031F" w14:paraId="2EBA5B95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8C9F3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D83E2E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Teoria complexului activat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D62875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Prelegere, </w:t>
            </w:r>
            <w:r>
              <w:rPr>
                <w:sz w:val="20"/>
                <w:szCs w:val="20"/>
              </w:rPr>
              <w:t>conversaţie, explicaţie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AB765" w14:textId="14E1EC11" w:rsidR="0046031F" w:rsidRDefault="00AA027E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46031F" w14:paraId="593501CF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583E51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B8570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Coordonate ale structurii moleculare şi de reacţie.  Suprafeţe de energie potenţială şi structuri intermediare şi de tranziţie. Metode de investigare ale chimiei computationale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1AF5A1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DD019" w14:textId="77777777" w:rsidR="0046031F" w:rsidRDefault="0046031F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031F" w14:paraId="1983BA54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33AEA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7FF3E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 de mecanică moleculară. Energia conformaţională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17DE5E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BA84C2" w14:textId="77777777" w:rsidR="0046031F" w:rsidRDefault="0046031F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A027E" w14:paraId="57BEF005" w14:textId="77777777" w:rsidTr="00414FA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923894" w14:textId="77777777" w:rsidR="00AA027E" w:rsidRDefault="00AA027E" w:rsidP="00414FA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917EC7" w14:textId="77777777" w:rsidR="00AA027E" w:rsidRDefault="00AA027E" w:rsidP="00414FA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Tehnici şi metode de optimizare conformaţional-energetică a sistemelor moleculare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B95941" w14:textId="77777777" w:rsidR="00AA027E" w:rsidRDefault="00AA027E" w:rsidP="00414FAB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A1FEF5" w14:textId="77777777" w:rsidR="00AA027E" w:rsidRDefault="00AA027E" w:rsidP="00AA027E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031F" w14:paraId="0C2D42CC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8AD241" w14:textId="72B1D8C2" w:rsidR="0046031F" w:rsidRDefault="00AA027E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  <w:r w:rsidR="0046031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0C9C7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Metode π -electronice şi semiempirice de calcul ale chimiei teoretice.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3999AE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C97F81" w14:textId="77777777" w:rsidR="0046031F" w:rsidRDefault="0046031F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031F" w14:paraId="602AC643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6831CC" w14:textId="3936328B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AA027E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4B46F6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Aproximaţia π-electronică în structura moleculară. Bazele fizico-chimice ale aproximaţiei π -electronice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EE1BC4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AC0439" w14:textId="77777777" w:rsidR="0046031F" w:rsidRDefault="0046031F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031F" w14:paraId="15BD7972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04E416" w14:textId="321FD2BC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</w:t>
            </w:r>
            <w:r w:rsidR="00AA027E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F017A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Determinarea descriptorilor structurali şi ai indicelor de reactivitate chimică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D864DD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226F7" w14:textId="77777777" w:rsidR="0046031F" w:rsidRDefault="0046031F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031F" w14:paraId="3C5F422C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E8C83B" w14:textId="15E06C0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AA027E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5653A8" w14:textId="77777777" w:rsidR="0046031F" w:rsidRDefault="0046031F" w:rsidP="00196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teoretice de investigare a structurii şi reactivităţii sistemelor moleculare. </w:t>
            </w:r>
          </w:p>
          <w:p w14:paraId="13D40DCE" w14:textId="77777777" w:rsidR="0046031F" w:rsidRDefault="0046031F" w:rsidP="00196D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Baze de orbitale atomice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224D09" w14:textId="77777777" w:rsidR="0046031F" w:rsidRDefault="0046031F" w:rsidP="00196DA6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22AC3" w14:textId="401B87A2" w:rsidR="0046031F" w:rsidRDefault="002301C1" w:rsidP="00C23F2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46031F" w14:paraId="3B09C7BA" w14:textId="77777777" w:rsidTr="0046031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A68D4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14:paraId="42FA70EA" w14:textId="623F8753" w:rsidR="0046031F" w:rsidRDefault="0046031F" w:rsidP="004603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A. Onu, M.O. Apostu, Chimia fizică a stărilor de agregare, MatrixROM, Bucureşti, 2004.</w:t>
            </w:r>
          </w:p>
          <w:p w14:paraId="1CCAA69D" w14:textId="77777777" w:rsidR="0046031F" w:rsidRDefault="0046031F" w:rsidP="004603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E. Lewars, Computational Chemistry, Kluwer Academic Publishers, NY, 2004.</w:t>
            </w:r>
          </w:p>
          <w:p w14:paraId="25669434" w14:textId="77777777" w:rsidR="0046031F" w:rsidRDefault="0046031F" w:rsidP="004603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F. Jensen, Introduction to Computational Chemistry, Wiley, Chichester, 1999.</w:t>
            </w:r>
          </w:p>
          <w:p w14:paraId="6B504716" w14:textId="77777777" w:rsidR="0046031F" w:rsidRDefault="0046031F" w:rsidP="004603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D.W. Rogers, Computational Chemistry Using the PC, Third Edition, John Wiley &amp; Sons, Inc., Hoboken, NJ, 2003.</w:t>
            </w:r>
          </w:p>
          <w:p w14:paraId="01C3F9AD" w14:textId="77777777" w:rsidR="0046031F" w:rsidRDefault="0046031F" w:rsidP="004603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C.J. Cramer, Essentials of Computational Chemistry: Theories and Models, 2nd Edition, John Wiley &amp; Sons Ltd, T, Chichester, 2004.</w:t>
            </w:r>
          </w:p>
          <w:p w14:paraId="0DDC9416" w14:textId="1C00B57F" w:rsidR="0046031F" w:rsidRDefault="0046031F" w:rsidP="00C23F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D.A. McQuarrie, Molecular Thermodynamics, University Science Books, Sausalito, CA, 1999.</w:t>
            </w:r>
          </w:p>
          <w:p w14:paraId="6229D094" w14:textId="3E108D12" w:rsidR="0046031F" w:rsidRDefault="0046031F" w:rsidP="00C23F2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D.A. McQuarrie, J. D. Simon, Physical Chemistry – A Molecular Approach, University Science Books, Sausalito, CA, 1997.</w:t>
            </w:r>
          </w:p>
          <w:p w14:paraId="7933ADA1" w14:textId="77777777" w:rsidR="0046031F" w:rsidRDefault="0046031F" w:rsidP="00C23F2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W. Koch, M.C. Holthausen, A chemist's guide to density functional theory, Second Edition, Wiley-VCH Verlag GmbH, 2001</w:t>
            </w:r>
          </w:p>
          <w:p w14:paraId="4E9900F5" w14:textId="77777777" w:rsidR="0046031F" w:rsidRDefault="0046031F" w:rsidP="00C23F2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J. Gasteiger, T. Engel, Chemoinformatics, Wiley, Weinheim, 2003.</w:t>
            </w:r>
          </w:p>
          <w:p w14:paraId="5EC6A06D" w14:textId="77777777" w:rsidR="0046031F" w:rsidRDefault="0046031F" w:rsidP="00C23F2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I. Humelnicu, Elemente de chimie teoretică, Ed. Tehnopress, Iaşi, 2003</w:t>
            </w:r>
          </w:p>
          <w:p w14:paraId="0505653F" w14:textId="363F8650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46031F" w14:paraId="69627347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FFA00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6673CC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750985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FAD8F8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6031F" w14:paraId="453A69DC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D5070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338832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Aplicaţii de calcul în termodinamica statistică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C9FC8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Explicaţia, studiu de caz,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ABB25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6031F" w14:paraId="3C828A9B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FBFA94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C901EB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Aplicaţii numerice în termodinamica statistică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5B5B7A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Explicaţia, studiu de caz,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D13F9E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6031F" w14:paraId="6A51AE35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C4009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019068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 spaţiale şi sisteme de coordonate caracteristice structurilor moleculare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0DB86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Explicaţia, studiu de caz,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914D9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6031F" w14:paraId="08D21DD6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51E3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B5F516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Metode ale mecanicii moleculare utilizate în studiul conformaţional al sistemelor moleculare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88082F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Explicaţia, studiu de caz, conversaţia, simularea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EDFF3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6031F" w14:paraId="7118A61C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CF42D3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439FAC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Reprezentarea şi interpretarea rezultatelor obţinute utilizând metode ale mecanicii moleculare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516F9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Explicaţia, studiu de caz, conversaţia, simularea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3A39D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6031F" w14:paraId="00BBDF2E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9658C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A9A2EB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Investigarea sistemelor moleculare utilizând metode semi-empirice ale chimiei cuantice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DC0343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Explicaţia, studiu de caz, conversaţia, simularea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75FEC7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6031F" w14:paraId="214D4BED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D94BE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F01D3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Vizualizarea si interpretarea rezultatelor obţinute utilizând metode ale orbitalelor moleculare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9E4E6E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Explicaţia, studiu de caz, conversaţia, simularea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39E50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6031F" w14:paraId="275FF5FE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691A0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ED6863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Studiul sistemelor reactante pe calea de reacţie. Suprafeţe de energii potenţiale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CA7FD1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Explicaţia, studiu de caz, conversaţia, simularea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967DAC" w14:textId="77777777" w:rsidR="0046031F" w:rsidRDefault="0046031F" w:rsidP="00C23F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6031F" w14:paraId="0665480F" w14:textId="77777777" w:rsidTr="0046031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6CE831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14:paraId="18146E41" w14:textId="77777777" w:rsidR="0046031F" w:rsidRDefault="0046031F" w:rsidP="00196DA6">
            <w:pPr>
              <w:ind w:left="948" w:hanging="42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  <w:t>A. Onu, M. O. Apostu, Chimia fizică a stărilor de agregare, MatrixROM, Bucureşti, 2004.</w:t>
            </w:r>
          </w:p>
          <w:p w14:paraId="62D66DE8" w14:textId="77777777" w:rsidR="0046031F" w:rsidRDefault="0046031F" w:rsidP="00196DA6">
            <w:pPr>
              <w:ind w:left="948" w:hanging="42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  <w:t>P. Atkins, J. dePaula, Physical Chemistry, 9th ed., W. H. Freeman, NY, 2010.</w:t>
            </w:r>
          </w:p>
          <w:p w14:paraId="57434342" w14:textId="77777777" w:rsidR="0046031F" w:rsidRDefault="0046031F" w:rsidP="00196DA6">
            <w:pPr>
              <w:ind w:left="948" w:hanging="42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  <w:t>C. A. Trapp, M. P. Cady, C. Giunta, Instructor’s solution manual to accompany Atkins’ Physical Chemistry, 9th ed., W. H. Freeman, NY, 2010.</w:t>
            </w:r>
          </w:p>
          <w:p w14:paraId="4A781CFC" w14:textId="77777777" w:rsidR="0046031F" w:rsidRDefault="0046031F" w:rsidP="00196DA6">
            <w:pPr>
              <w:ind w:left="948" w:hanging="42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  <w:t>J.B. Foresman, Æleen Frisch, Exploring Chemistry with Electronic Structure Methods - 2nd ed., Gaussian Inc., Pittsburgh, PA, 1996</w:t>
            </w:r>
          </w:p>
          <w:p w14:paraId="7CFCB97F" w14:textId="77777777" w:rsidR="0046031F" w:rsidRDefault="0046031F" w:rsidP="00196DA6">
            <w:pPr>
              <w:ind w:left="948" w:hanging="42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  <w:t>D.W. Rogers, Computational Chemistry Using the PC, Wiley, Hoboken, NJ, 2003.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68A11EE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29DED74A" w14:textId="77777777" w:rsidR="0046031F" w:rsidRDefault="0046031F" w:rsidP="0046031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46031F" w14:paraId="4D8011A3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60739" w14:textId="09C8BFC9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Disciplina “Termodinamică statistică şi chimie computaţională” oferă studenţilor cunoştinţe şi deprinderi esenţiale în domeniul din care face parte</w:t>
            </w:r>
            <w:r w:rsidR="00CB4232">
              <w:rPr>
                <w:noProof/>
                <w:sz w:val="20"/>
                <w:szCs w:val="20"/>
              </w:rPr>
              <w:t>, iar</w:t>
            </w:r>
            <w:r w:rsidR="00CB4232" w:rsidRPr="00CB4232">
              <w:rPr>
                <w:noProof/>
                <w:sz w:val="20"/>
                <w:szCs w:val="20"/>
              </w:rPr>
              <w:t xml:space="preserve"> </w:t>
            </w:r>
            <w:r w:rsidR="00CB4232">
              <w:rPr>
                <w:noProof/>
                <w:sz w:val="20"/>
                <w:szCs w:val="20"/>
              </w:rPr>
              <w:t>co</w:t>
            </w:r>
            <w:r w:rsidR="00CB4232" w:rsidRPr="00CB4232">
              <w:rPr>
                <w:noProof/>
                <w:sz w:val="20"/>
                <w:szCs w:val="20"/>
              </w:rPr>
              <w:t>nţinutul cursului şi al aplicaţiilor de laborator sunt în concordanţă cu cererințele asociaţiilor profesionale naţionale şi internaţionale de specialitate</w:t>
            </w:r>
            <w:r w:rsidR="00CB4232">
              <w:rPr>
                <w:noProof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53184B0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7C257381" w14:textId="77777777" w:rsidR="00C23F25" w:rsidRDefault="00C23F25" w:rsidP="0046031F">
      <w:pPr>
        <w:pStyle w:val="subtitlu"/>
        <w:rPr>
          <w:color w:val="000000"/>
          <w:sz w:val="22"/>
          <w:szCs w:val="22"/>
        </w:rPr>
      </w:pPr>
    </w:p>
    <w:p w14:paraId="17BC320D" w14:textId="3A377237" w:rsidR="0046031F" w:rsidRDefault="0046031F" w:rsidP="0046031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6031F" w14:paraId="4B3A3FC6" w14:textId="77777777" w:rsidTr="0046031F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8D598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86FCE2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0740C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0B344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6031F" w14:paraId="5CF187F6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AD6360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635D9" w14:textId="77777777" w:rsidR="00CB4232" w:rsidRPr="00CB4232" w:rsidRDefault="00CB4232" w:rsidP="00CB423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B4232">
              <w:rPr>
                <w:rFonts w:eastAsia="Times New Roman"/>
                <w:color w:val="000000"/>
                <w:sz w:val="20"/>
                <w:szCs w:val="20"/>
              </w:rPr>
              <w:t xml:space="preserve">- Corectitudinea răspunsurilor </w:t>
            </w:r>
          </w:p>
          <w:p w14:paraId="5ACA288C" w14:textId="714C82D2" w:rsidR="0046031F" w:rsidRDefault="00CB4232" w:rsidP="00CB423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B4232">
              <w:rPr>
                <w:rFonts w:eastAsia="Times New Roman"/>
                <w:color w:val="000000"/>
                <w:sz w:val="20"/>
                <w:szCs w:val="20"/>
              </w:rPr>
              <w:t>- Însuşirea şi înţelegerea corectă a problematicii disciplinei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82786D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52A0D9" w14:textId="3F3474CC" w:rsidR="0046031F" w:rsidRDefault="00AA027E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</w:tr>
      <w:tr w:rsidR="0046031F" w14:paraId="1864F2A4" w14:textId="77777777" w:rsidTr="0046031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F9CE1F" w14:textId="77777777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D77152" w14:textId="77777777" w:rsidR="00F750C5" w:rsidRDefault="0046031F" w:rsidP="00F750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F750C5" w:rsidRPr="00F750C5">
              <w:rPr>
                <w:rFonts w:eastAsia="Times New Roman"/>
                <w:color w:val="000000"/>
                <w:sz w:val="20"/>
                <w:szCs w:val="20"/>
              </w:rPr>
              <w:t xml:space="preserve"> Corectitudinea răspunsurilor </w:t>
            </w:r>
          </w:p>
          <w:p w14:paraId="26FEFB1F" w14:textId="1751EECD" w:rsidR="00F750C5" w:rsidRPr="00F750C5" w:rsidRDefault="00F750C5" w:rsidP="00F750C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750C5">
              <w:rPr>
                <w:rFonts w:eastAsia="Times New Roman"/>
                <w:color w:val="000000"/>
                <w:sz w:val="20"/>
                <w:szCs w:val="20"/>
              </w:rPr>
              <w:t>- Însuşirea</w:t>
            </w:r>
            <w:r w:rsidR="00234B1C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F750C5">
              <w:rPr>
                <w:rFonts w:eastAsia="Times New Roman"/>
                <w:color w:val="000000"/>
                <w:sz w:val="20"/>
                <w:szCs w:val="20"/>
              </w:rPr>
              <w:t xml:space="preserve"> înţelegerea</w:t>
            </w:r>
            <w:r w:rsidR="00234B1C">
              <w:rPr>
                <w:rFonts w:eastAsia="Times New Roman"/>
                <w:color w:val="000000"/>
                <w:sz w:val="20"/>
                <w:szCs w:val="20"/>
              </w:rPr>
              <w:t>, interpretarea</w:t>
            </w:r>
            <w:r w:rsidRPr="00F750C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34B1C">
              <w:rPr>
                <w:rFonts w:eastAsia="Times New Roman"/>
                <w:color w:val="000000"/>
                <w:sz w:val="20"/>
                <w:szCs w:val="20"/>
              </w:rPr>
              <w:t xml:space="preserve">și utilizarea </w:t>
            </w:r>
            <w:r w:rsidRPr="00F750C5">
              <w:rPr>
                <w:rFonts w:eastAsia="Times New Roman"/>
                <w:color w:val="000000"/>
                <w:sz w:val="20"/>
                <w:szCs w:val="20"/>
              </w:rPr>
              <w:t xml:space="preserve">corectă a </w:t>
            </w:r>
            <w:r w:rsidR="00234B1C">
              <w:rPr>
                <w:rFonts w:eastAsia="Times New Roman"/>
                <w:color w:val="000000"/>
                <w:sz w:val="20"/>
                <w:szCs w:val="20"/>
              </w:rPr>
              <w:t>noțiunilor, metodelor, tehnicilor ș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r w:rsidR="00234B1C">
              <w:rPr>
                <w:rFonts w:eastAsia="Times New Roman"/>
                <w:color w:val="000000"/>
                <w:sz w:val="20"/>
                <w:szCs w:val="20"/>
              </w:rPr>
              <w:t xml:space="preserve"> conceptelor specifice disciplinei</w:t>
            </w:r>
          </w:p>
          <w:p w14:paraId="6265485C" w14:textId="7C432BF0" w:rsidR="0046031F" w:rsidRDefault="00F750C5" w:rsidP="00F750C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750C5">
              <w:rPr>
                <w:rFonts w:eastAsia="Times New Roman"/>
                <w:color w:val="000000"/>
                <w:sz w:val="20"/>
                <w:szCs w:val="20"/>
              </w:rPr>
              <w:t>- Corectitudinea datelor obținute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5EE1A" w14:textId="2A5305BB" w:rsidR="00E54249" w:rsidRDefault="00E54249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46031F">
              <w:rPr>
                <w:rFonts w:eastAsia="Times New Roman"/>
                <w:color w:val="000000"/>
                <w:sz w:val="20"/>
                <w:szCs w:val="20"/>
              </w:rPr>
              <w:t>Evaluare scris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</w:t>
            </w:r>
            <w:r w:rsidR="0046031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ș</w:t>
            </w:r>
            <w:r w:rsidR="0046031F">
              <w:rPr>
                <w:rFonts w:eastAsia="Times New Roman"/>
                <w:color w:val="000000"/>
                <w:sz w:val="20"/>
                <w:szCs w:val="20"/>
              </w:rPr>
              <w:t>i oral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ă, probă practică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DC3EE0" w14:textId="20C28EA9" w:rsidR="0046031F" w:rsidRDefault="00AA027E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</w:tr>
      <w:tr w:rsidR="0046031F" w14:paraId="3D6E67FB" w14:textId="77777777" w:rsidTr="00F750C5">
        <w:trPr>
          <w:trHeight w:val="946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5FE76" w14:textId="77777777" w:rsidR="00F750C5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performanţă: </w:t>
            </w:r>
          </w:p>
          <w:p w14:paraId="2F0F1B58" w14:textId="77777777" w:rsidR="00F750C5" w:rsidRDefault="00F750C5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3BD3A31" w14:textId="722B6906" w:rsidR="0046031F" w:rsidRDefault="00CB4232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Cunoașterea și utilizarea </w:t>
            </w:r>
            <w:r w:rsidR="00F750C5">
              <w:rPr>
                <w:rFonts w:eastAsia="Times New Roman"/>
                <w:color w:val="000000"/>
                <w:sz w:val="20"/>
                <w:szCs w:val="20"/>
              </w:rPr>
              <w:t>corectă a noțiunilor fundamentale ale disciplinei</w:t>
            </w:r>
          </w:p>
        </w:tc>
      </w:tr>
      <w:tr w:rsidR="0046031F" w14:paraId="101A599D" w14:textId="77777777" w:rsidTr="0046031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7DD87" w14:textId="763C1C0B" w:rsidR="0046031F" w:rsidRDefault="0046031F" w:rsidP="00196DA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F750C5">
              <w:rPr>
                <w:rFonts w:eastAsia="Times New Roman"/>
                <w:color w:val="000000"/>
                <w:sz w:val="20"/>
                <w:szCs w:val="20"/>
              </w:rPr>
              <w:t>Pentru reevaluări și măriri de notă se v</w:t>
            </w:r>
            <w:r w:rsidR="00AA027E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="00F750C5">
              <w:rPr>
                <w:rFonts w:eastAsia="Times New Roman"/>
                <w:color w:val="000000"/>
                <w:sz w:val="20"/>
                <w:szCs w:val="20"/>
              </w:rPr>
              <w:t xml:space="preserve"> considera </w:t>
            </w:r>
            <w:r w:rsidR="00AA027E">
              <w:rPr>
                <w:rFonts w:eastAsia="Times New Roman"/>
                <w:color w:val="000000"/>
                <w:sz w:val="20"/>
                <w:szCs w:val="20"/>
              </w:rPr>
              <w:t xml:space="preserve">materia </w:t>
            </w:r>
            <w:r w:rsidR="00F750C5">
              <w:rPr>
                <w:rFonts w:eastAsia="Times New Roman"/>
                <w:color w:val="000000"/>
                <w:sz w:val="20"/>
                <w:szCs w:val="20"/>
              </w:rPr>
              <w:t>predat</w:t>
            </w:r>
            <w:r w:rsidR="00AA027E">
              <w:rPr>
                <w:rFonts w:eastAsia="Times New Roman"/>
                <w:color w:val="000000"/>
                <w:sz w:val="20"/>
                <w:szCs w:val="20"/>
              </w:rPr>
              <w:t>ă</w:t>
            </w:r>
            <w:r w:rsidR="00F750C5">
              <w:rPr>
                <w:rFonts w:eastAsia="Times New Roman"/>
                <w:color w:val="000000"/>
                <w:sz w:val="20"/>
                <w:szCs w:val="20"/>
              </w:rPr>
              <w:t xml:space="preserve"> la curs</w:t>
            </w:r>
          </w:p>
        </w:tc>
      </w:tr>
    </w:tbl>
    <w:p w14:paraId="5DECA025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6F34123C" w14:textId="77777777" w:rsidR="00AA027E" w:rsidRDefault="00AA027E" w:rsidP="0046031F">
      <w:pPr>
        <w:rPr>
          <w:rFonts w:eastAsia="Times New Roman"/>
          <w:color w:val="000000"/>
          <w:sz w:val="22"/>
          <w:szCs w:val="22"/>
        </w:rPr>
      </w:pPr>
    </w:p>
    <w:p w14:paraId="638E6978" w14:textId="77777777" w:rsidR="00AA027E" w:rsidRDefault="00AA027E" w:rsidP="0046031F">
      <w:pPr>
        <w:rPr>
          <w:rFonts w:eastAsia="Times New Roman"/>
          <w:color w:val="000000"/>
          <w:sz w:val="22"/>
          <w:szCs w:val="22"/>
        </w:rPr>
      </w:pPr>
    </w:p>
    <w:tbl>
      <w:tblPr>
        <w:tblW w:w="5053" w:type="pct"/>
        <w:tblLook w:val="04A0" w:firstRow="1" w:lastRow="0" w:firstColumn="1" w:lastColumn="0" w:noHBand="0" w:noVBand="1"/>
      </w:tblPr>
      <w:tblGrid>
        <w:gridCol w:w="2702"/>
        <w:gridCol w:w="3911"/>
        <w:gridCol w:w="3551"/>
      </w:tblGrid>
      <w:tr w:rsidR="0046031F" w14:paraId="358DF1B7" w14:textId="77777777" w:rsidTr="002301C1"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8898D" w14:textId="77777777" w:rsidR="0046031F" w:rsidRDefault="0046031F" w:rsidP="00196DA6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192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51C574" w14:textId="77777777" w:rsidR="0046031F" w:rsidRDefault="0046031F" w:rsidP="00196DA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174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10EE2C" w14:textId="77777777" w:rsidR="0046031F" w:rsidRDefault="0046031F" w:rsidP="00196DA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  <w:tr w:rsidR="0046031F" w14:paraId="0D251571" w14:textId="77777777" w:rsidTr="002301C1">
        <w:tc>
          <w:tcPr>
            <w:tcW w:w="1329" w:type="pct"/>
            <w:hideMark/>
          </w:tcPr>
          <w:p w14:paraId="217ECA41" w14:textId="16FE03F0" w:rsidR="0046031F" w:rsidRPr="002301C1" w:rsidRDefault="0046031F" w:rsidP="00196DA6">
            <w:pPr>
              <w:ind w:left="57"/>
              <w:rPr>
                <w:b/>
                <w:bCs/>
                <w:noProof/>
              </w:rPr>
            </w:pPr>
            <w:r w:rsidRPr="002301C1">
              <w:rPr>
                <w:b/>
                <w:bCs/>
                <w:noProof/>
              </w:rPr>
              <w:t>29.09.2023</w:t>
            </w:r>
          </w:p>
        </w:tc>
        <w:tc>
          <w:tcPr>
            <w:tcW w:w="1924" w:type="pct"/>
          </w:tcPr>
          <w:p w14:paraId="1821F21D" w14:textId="3710115A" w:rsidR="0046031F" w:rsidRPr="002301C1" w:rsidRDefault="0046031F" w:rsidP="002301C1">
            <w:pPr>
              <w:rPr>
                <w:b/>
                <w:bCs/>
                <w:noProof/>
              </w:rPr>
            </w:pPr>
            <w:r w:rsidRPr="002301C1">
              <w:rPr>
                <w:b/>
                <w:bCs/>
                <w:noProof/>
              </w:rPr>
              <w:t>Conf. dr. Ionel Humelnicu</w:t>
            </w:r>
          </w:p>
          <w:p w14:paraId="6951F57C" w14:textId="77777777" w:rsidR="0046031F" w:rsidRDefault="0046031F" w:rsidP="00196DA6">
            <w:pPr>
              <w:ind w:left="57"/>
              <w:rPr>
                <w:b/>
                <w:bCs/>
                <w:noProof/>
              </w:rPr>
            </w:pPr>
          </w:p>
          <w:p w14:paraId="5B8AEC49" w14:textId="77777777" w:rsidR="00AC6106" w:rsidRPr="002301C1" w:rsidRDefault="00AC6106" w:rsidP="00196DA6">
            <w:pPr>
              <w:ind w:left="57"/>
              <w:rPr>
                <w:b/>
                <w:bCs/>
                <w:noProof/>
              </w:rPr>
            </w:pPr>
          </w:p>
          <w:p w14:paraId="084383AC" w14:textId="04ECB213" w:rsidR="0046031F" w:rsidRPr="002301C1" w:rsidRDefault="0046031F" w:rsidP="002301C1">
            <w:pPr>
              <w:rPr>
                <w:b/>
                <w:bCs/>
                <w:noProof/>
              </w:rPr>
            </w:pPr>
            <w:r w:rsidRPr="002301C1">
              <w:rPr>
                <w:b/>
                <w:bCs/>
                <w:noProof/>
              </w:rPr>
              <w:t>Lect. Dr. Mihai Dumitraş</w:t>
            </w:r>
          </w:p>
        </w:tc>
        <w:tc>
          <w:tcPr>
            <w:tcW w:w="1747" w:type="pct"/>
            <w:hideMark/>
          </w:tcPr>
          <w:p w14:paraId="211F06FF" w14:textId="07784119" w:rsidR="0046031F" w:rsidRPr="002301C1" w:rsidRDefault="0046031F" w:rsidP="00196DA6">
            <w:pPr>
              <w:ind w:left="57"/>
              <w:rPr>
                <w:b/>
                <w:bCs/>
                <w:noProof/>
              </w:rPr>
            </w:pPr>
            <w:r w:rsidRPr="002301C1">
              <w:rPr>
                <w:b/>
                <w:bCs/>
                <w:noProof/>
              </w:rPr>
              <w:t xml:space="preserve"> Conf. dr. Ionel Humelnicu</w:t>
            </w:r>
          </w:p>
          <w:p w14:paraId="3E5C303D" w14:textId="77777777" w:rsidR="0046031F" w:rsidRDefault="0046031F" w:rsidP="00196DA6">
            <w:pPr>
              <w:ind w:left="57"/>
              <w:rPr>
                <w:b/>
                <w:bCs/>
                <w:noProof/>
              </w:rPr>
            </w:pPr>
            <w:r w:rsidRPr="002301C1">
              <w:rPr>
                <w:b/>
                <w:bCs/>
                <w:noProof/>
              </w:rPr>
              <w:t xml:space="preserve"> </w:t>
            </w:r>
          </w:p>
          <w:p w14:paraId="02C1BE4A" w14:textId="77777777" w:rsidR="00AC6106" w:rsidRPr="002301C1" w:rsidRDefault="00AC6106" w:rsidP="00196DA6">
            <w:pPr>
              <w:ind w:left="57"/>
              <w:rPr>
                <w:b/>
                <w:bCs/>
                <w:noProof/>
              </w:rPr>
            </w:pPr>
          </w:p>
          <w:p w14:paraId="71B37890" w14:textId="04110267" w:rsidR="0046031F" w:rsidRPr="002301C1" w:rsidRDefault="0046031F" w:rsidP="00196DA6">
            <w:pPr>
              <w:ind w:left="57"/>
              <w:rPr>
                <w:b/>
                <w:bCs/>
                <w:noProof/>
              </w:rPr>
            </w:pPr>
            <w:r w:rsidRPr="002301C1">
              <w:rPr>
                <w:b/>
                <w:bCs/>
                <w:noProof/>
              </w:rPr>
              <w:t xml:space="preserve"> Lect. Dr. Mihai Dumitras</w:t>
            </w:r>
          </w:p>
        </w:tc>
      </w:tr>
    </w:tbl>
    <w:p w14:paraId="62B43D88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37A96E10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79F0259D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p w14:paraId="0CDFF505" w14:textId="77777777" w:rsidR="0046031F" w:rsidRDefault="0046031F" w:rsidP="0046031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46031F" w14:paraId="78F24412" w14:textId="77777777" w:rsidTr="0046031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77366" w14:textId="77777777" w:rsidR="0046031F" w:rsidRDefault="0046031F" w:rsidP="00196DA6">
            <w:pPr>
              <w:jc w:val="center"/>
              <w:rPr>
                <w:rFonts w:eastAsia="Times New Roman"/>
                <w:b/>
                <w:bCs/>
                <w:color w:val="000000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2B479" w14:textId="77777777" w:rsidR="0046031F" w:rsidRDefault="0046031F" w:rsidP="00196DA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012A56A3" w14:textId="77777777" w:rsidR="0046031F" w:rsidRDefault="0046031F" w:rsidP="0046031F">
      <w:pPr>
        <w:rPr>
          <w:rFonts w:eastAsia="Times New Roman"/>
        </w:rPr>
      </w:pPr>
    </w:p>
    <w:sectPr w:rsidR="0046031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841"/>
    <w:multiLevelType w:val="multilevel"/>
    <w:tmpl w:val="866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75F5"/>
    <w:multiLevelType w:val="hybridMultilevel"/>
    <w:tmpl w:val="1406B06E"/>
    <w:lvl w:ilvl="0" w:tplc="CDF839F0">
      <w:start w:val="1"/>
      <w:numFmt w:val="decimal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648E"/>
    <w:multiLevelType w:val="hybridMultilevel"/>
    <w:tmpl w:val="D2A47918"/>
    <w:lvl w:ilvl="0" w:tplc="D7C2B842">
      <w:start w:val="1"/>
      <w:numFmt w:val="decimal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137" w:hanging="360"/>
      </w:pPr>
    </w:lvl>
    <w:lvl w:ilvl="2" w:tplc="0409001B">
      <w:start w:val="1"/>
      <w:numFmt w:val="lowerRoman"/>
      <w:lvlText w:val="%3."/>
      <w:lvlJc w:val="right"/>
      <w:pPr>
        <w:ind w:left="1857" w:hanging="180"/>
      </w:pPr>
    </w:lvl>
    <w:lvl w:ilvl="3" w:tplc="0409000F">
      <w:start w:val="1"/>
      <w:numFmt w:val="decimal"/>
      <w:lvlText w:val="%4."/>
      <w:lvlJc w:val="left"/>
      <w:pPr>
        <w:ind w:left="2577" w:hanging="360"/>
      </w:pPr>
    </w:lvl>
    <w:lvl w:ilvl="4" w:tplc="04090019">
      <w:start w:val="1"/>
      <w:numFmt w:val="lowerLetter"/>
      <w:lvlText w:val="%5."/>
      <w:lvlJc w:val="left"/>
      <w:pPr>
        <w:ind w:left="3297" w:hanging="360"/>
      </w:pPr>
    </w:lvl>
    <w:lvl w:ilvl="5" w:tplc="0409001B">
      <w:start w:val="1"/>
      <w:numFmt w:val="lowerRoman"/>
      <w:lvlText w:val="%6."/>
      <w:lvlJc w:val="right"/>
      <w:pPr>
        <w:ind w:left="4017" w:hanging="180"/>
      </w:pPr>
    </w:lvl>
    <w:lvl w:ilvl="6" w:tplc="0409000F">
      <w:start w:val="1"/>
      <w:numFmt w:val="decimal"/>
      <w:lvlText w:val="%7."/>
      <w:lvlJc w:val="left"/>
      <w:pPr>
        <w:ind w:left="4737" w:hanging="360"/>
      </w:pPr>
    </w:lvl>
    <w:lvl w:ilvl="7" w:tplc="04090019">
      <w:start w:val="1"/>
      <w:numFmt w:val="lowerLetter"/>
      <w:lvlText w:val="%8."/>
      <w:lvlJc w:val="left"/>
      <w:pPr>
        <w:ind w:left="5457" w:hanging="360"/>
      </w:pPr>
    </w:lvl>
    <w:lvl w:ilvl="8" w:tplc="0409001B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7D32E22"/>
    <w:multiLevelType w:val="multilevel"/>
    <w:tmpl w:val="238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1F"/>
    <w:rsid w:val="002301C1"/>
    <w:rsid w:val="00234B1C"/>
    <w:rsid w:val="0046031F"/>
    <w:rsid w:val="00740868"/>
    <w:rsid w:val="00970B07"/>
    <w:rsid w:val="00AA027E"/>
    <w:rsid w:val="00AC6106"/>
    <w:rsid w:val="00C23F25"/>
    <w:rsid w:val="00CB4232"/>
    <w:rsid w:val="00D55050"/>
    <w:rsid w:val="00E54249"/>
    <w:rsid w:val="00F7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23633D"/>
  <w15:chartTrackingRefBased/>
  <w15:docId w15:val="{EF182C4E-83A9-40BC-8AF4-9A99F51C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6031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1364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Ionel Humelnicu</dc:creator>
  <cp:keywords/>
  <dc:description/>
  <cp:lastModifiedBy>user</cp:lastModifiedBy>
  <cp:revision>2</cp:revision>
  <dcterms:created xsi:type="dcterms:W3CDTF">2023-10-27T12:01:00Z</dcterms:created>
  <dcterms:modified xsi:type="dcterms:W3CDTF">2023-10-27T12:01:00Z</dcterms:modified>
</cp:coreProperties>
</file>