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258" w:rsidRDefault="00B71F0E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1750" cy="1066800"/>
            <wp:effectExtent l="19050" t="0" r="0" b="0"/>
            <wp:docPr id="1" name="Picture 0" descr="antet_UAIC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_UAIC - Cop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718D">
        <w:rPr>
          <w:rFonts w:eastAsia="Times New Roman"/>
          <w:color w:val="000000"/>
          <w:sz w:val="22"/>
          <w:szCs w:val="22"/>
        </w:rPr>
        <w:t> </w:t>
      </w:r>
      <w:r w:rsidR="002A718D">
        <w:rPr>
          <w:rFonts w:eastAsia="Times New Roman"/>
          <w:color w:val="000000"/>
          <w:sz w:val="22"/>
          <w:szCs w:val="22"/>
        </w:rPr>
        <w:br/>
        <w:t> </w:t>
      </w:r>
    </w:p>
    <w:p w:rsidR="00FD6258" w:rsidRDefault="002A718D">
      <w:pPr>
        <w:pStyle w:val="titludiscplan"/>
      </w:pPr>
      <w:r>
        <w:t>FIŞA DISCIPLINEI</w:t>
      </w: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FD6258" w:rsidTr="008F6B9E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Pr="00DB3F62" w:rsidRDefault="002A718D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B3F62">
              <w:rPr>
                <w:rFonts w:eastAsia="Times New Roman"/>
                <w:b/>
                <w:color w:val="000000"/>
                <w:sz w:val="20"/>
                <w:szCs w:val="20"/>
              </w:rPr>
              <w:t>Bazele chimiei organice</w:t>
            </w:r>
          </w:p>
        </w:tc>
      </w:tr>
      <w:tr w:rsidR="008F6B9E" w:rsidTr="008F6B9E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Pr="00DB3F62" w:rsidRDefault="008F6B9E" w:rsidP="00D84067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B3F6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Prof.dr. </w:t>
            </w:r>
            <w:r w:rsidR="00DB3F62" w:rsidRPr="00DB3F62">
              <w:rPr>
                <w:rFonts w:eastAsia="Times New Roman"/>
                <w:b/>
                <w:color w:val="000000"/>
                <w:sz w:val="20"/>
                <w:szCs w:val="20"/>
              </w:rPr>
              <w:t>Ionel Mangalagiu</w:t>
            </w:r>
          </w:p>
        </w:tc>
      </w:tr>
      <w:tr w:rsidR="008F6B9E" w:rsidTr="008F6B9E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B3F62" w:rsidRDefault="008F6B9E" w:rsidP="00D84067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Conf</w:t>
            </w:r>
            <w:r w:rsidRPr="00C7461A">
              <w:rPr>
                <w:b/>
                <w:noProof/>
                <w:sz w:val="20"/>
              </w:rPr>
              <w:t xml:space="preserve">. dr. </w:t>
            </w:r>
            <w:r>
              <w:rPr>
                <w:b/>
                <w:noProof/>
                <w:sz w:val="20"/>
              </w:rPr>
              <w:t>Vasilichia</w:t>
            </w:r>
            <w:r w:rsidRPr="00C7461A">
              <w:rPr>
                <w:b/>
                <w:noProof/>
                <w:sz w:val="20"/>
              </w:rPr>
              <w:t xml:space="preserve"> </w:t>
            </w:r>
            <w:r>
              <w:rPr>
                <w:b/>
                <w:noProof/>
                <w:sz w:val="20"/>
              </w:rPr>
              <w:t>A</w:t>
            </w:r>
            <w:r w:rsidR="00DB3F62">
              <w:rPr>
                <w:b/>
                <w:noProof/>
                <w:sz w:val="20"/>
              </w:rPr>
              <w:t>NTOCI</w:t>
            </w:r>
          </w:p>
          <w:p w:rsidR="00DB3F62" w:rsidRPr="00DB3F62" w:rsidRDefault="00DB3F62" w:rsidP="00D84067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Asistent dr. Dumitrela DIACONU</w:t>
            </w:r>
          </w:p>
        </w:tc>
      </w:tr>
      <w:tr w:rsidR="00FD6258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FD6258" w:rsidRDefault="002A718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011"/>
        <w:gridCol w:w="2022"/>
        <w:gridCol w:w="1011"/>
        <w:gridCol w:w="2022"/>
        <w:gridCol w:w="1009"/>
      </w:tblGrid>
      <w:tr w:rsidR="00FD6258" w:rsidTr="008F6B9E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FD625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FD625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F6B9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F6B9E" w:rsidRPr="00C7461A" w:rsidRDefault="008F6B9E" w:rsidP="00D84067">
            <w:pPr>
              <w:jc w:val="center"/>
              <w:rPr>
                <w:b/>
                <w:noProof/>
                <w:sz w:val="20"/>
                <w:lang w:val="fr-FR"/>
              </w:rPr>
            </w:pPr>
            <w:r>
              <w:rPr>
                <w:b/>
                <w:noProof/>
                <w:sz w:val="20"/>
                <w:lang w:val="fr-FR"/>
              </w:rPr>
              <w:t>35</w:t>
            </w:r>
          </w:p>
        </w:tc>
      </w:tr>
      <w:tr w:rsidR="008F6B9E" w:rsidTr="007B76E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8F6B9E" w:rsidRPr="00C7461A" w:rsidRDefault="008F6B9E" w:rsidP="00D84067">
            <w:pPr>
              <w:jc w:val="center"/>
              <w:rPr>
                <w:b/>
                <w:sz w:val="20"/>
                <w:szCs w:val="20"/>
              </w:rPr>
            </w:pPr>
            <w:r w:rsidRPr="00C7461A">
              <w:rPr>
                <w:b/>
                <w:sz w:val="20"/>
                <w:szCs w:val="20"/>
              </w:rPr>
              <w:t>10</w:t>
            </w:r>
          </w:p>
        </w:tc>
      </w:tr>
      <w:tr w:rsidR="008F6B9E" w:rsidTr="007B76E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8F6B9E" w:rsidRPr="00C7461A" w:rsidRDefault="008F6B9E" w:rsidP="00D84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F6B9E" w:rsidTr="007B76E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8F6B9E" w:rsidRPr="00C7461A" w:rsidRDefault="008F6B9E" w:rsidP="00D84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F6B9E" w:rsidTr="007B76E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8F6B9E" w:rsidRPr="00C7461A" w:rsidRDefault="008F6B9E" w:rsidP="00D84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F6B9E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6B9E" w:rsidRDefault="008F6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F6B9E" w:rsidRPr="00C7461A" w:rsidRDefault="008F6B9E" w:rsidP="00D84067">
            <w:pPr>
              <w:jc w:val="center"/>
              <w:rPr>
                <w:b/>
                <w:noProof/>
                <w:sz w:val="20"/>
                <w:lang w:val="fr-FR"/>
              </w:rPr>
            </w:pPr>
          </w:p>
        </w:tc>
      </w:tr>
      <w:tr w:rsidR="00FD6258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D625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</w:t>
            </w:r>
          </w:p>
        </w:tc>
      </w:tr>
      <w:tr w:rsidR="00FD625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FD625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D625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FD625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2A71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FD625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D6258" w:rsidRDefault="008F6B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E6867">
              <w:rPr>
                <w:noProof/>
                <w:sz w:val="20"/>
                <w:lang w:val="fr-FR"/>
              </w:rPr>
              <w:t>Prezenta la laborator este obligatorie.</w:t>
            </w:r>
            <w:r>
              <w:rPr>
                <w:noProof/>
                <w:sz w:val="20"/>
                <w:lang w:val="fr-FR"/>
              </w:rPr>
              <w:t xml:space="preserve"> Recuperarea este permisa in limita a doua laboratoare, cu alta grupa pe parcursul aceleasi saptamani.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A718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FD625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FD625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FD625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E43" w:rsidRPr="00C7461A" w:rsidRDefault="002A718D" w:rsidP="00A46E43">
            <w:pPr>
              <w:ind w:left="57"/>
              <w:jc w:val="both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46E43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46E43" w:rsidRPr="00C7461A">
              <w:rPr>
                <w:noProof/>
                <w:sz w:val="20"/>
                <w:szCs w:val="20"/>
              </w:rPr>
              <w:t>Cursul sus menţionat este un curs de baza pentru întelegerea domeniului chimiei organice. Cursul prezintă două laturi:</w:t>
            </w:r>
          </w:p>
          <w:p w:rsidR="00A46E43" w:rsidRPr="00C7461A" w:rsidRDefault="00A46E43" w:rsidP="00A46E43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latură informativă, propunându-şi să ofere studenţilor o vedere de ansamblu şi în profunzime totodată asupra noţiunilor de bază ale chimiei organice.</w:t>
            </w:r>
          </w:p>
          <w:p w:rsidR="00A46E43" w:rsidRPr="00C7461A" w:rsidRDefault="00A46E43" w:rsidP="00A46E43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latura formativă, cursul propunându-şi să dezvolte gândirea creatoare şi sistemică a studenţilor, să arate care este logica internă în abordarea tematicii propuse, să le dezvolte studenţilor capacităţile şi deprinderile psiho-intelectuale si de ordin practic-aplicativ.</w:t>
            </w:r>
          </w:p>
          <w:p w:rsidR="00FD6258" w:rsidRDefault="00A46E43" w:rsidP="00A46E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O abordare interdisciplinară prin prezentarea multiplelor aplicaţii practice ale unor compuşi studiaţi.</w:t>
            </w:r>
          </w:p>
        </w:tc>
      </w:tr>
      <w:tr w:rsidR="00FD625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46E43" w:rsidRPr="00C7461A" w:rsidRDefault="00A46E43" w:rsidP="00A46E43">
            <w:pPr>
              <w:ind w:left="57"/>
              <w:rPr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A46E43" w:rsidRPr="00C7461A" w:rsidRDefault="00A46E43" w:rsidP="00A46E43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Recunoacă şi să descrie conceptele, abordările, teoriile, metodele şi modelele privitoare la </w:t>
            </w:r>
            <w:r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bazele chimiei organice </w:t>
            </w: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. </w:t>
            </w:r>
          </w:p>
          <w:p w:rsidR="00A46E43" w:rsidRPr="00C7461A" w:rsidRDefault="00A46E43" w:rsidP="00A46E43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 xml:space="preserve">Identifice metodele şi tehnicile, materialele, substanţele şi aparatura necesară pentru efectuarea unor experimente specifice bazelor chimiei organice. </w:t>
            </w:r>
          </w:p>
          <w:p w:rsidR="00A46E43" w:rsidRPr="00C7461A" w:rsidRDefault="00A46E43" w:rsidP="00A46E43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Identifice aspectele transdisciplinare cu domenii conexe chimiei.</w:t>
            </w:r>
          </w:p>
          <w:p w:rsidR="00A46E43" w:rsidRPr="00C7461A" w:rsidRDefault="00A46E43" w:rsidP="00A46E43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Evalueze conceptele, teoriile şi metodele de bază ale domeniului chimie.</w:t>
            </w:r>
          </w:p>
          <w:p w:rsidR="00112634" w:rsidRDefault="00A46E43" w:rsidP="00112634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C7461A">
              <w:rPr>
                <w:bCs/>
                <w:noProof/>
                <w:color w:val="000000"/>
                <w:sz w:val="20"/>
                <w:szCs w:val="20"/>
                <w:lang w:val="it-IT"/>
              </w:rPr>
              <w:t>Cunoască metodologia şi practica de lucru cu aparatura de laborator specifică bazelor chimei organice.</w:t>
            </w:r>
          </w:p>
          <w:p w:rsidR="00FD6258" w:rsidRPr="00112634" w:rsidRDefault="00A46E43" w:rsidP="00112634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112634">
              <w:rPr>
                <w:bCs/>
                <w:noProof/>
                <w:color w:val="000000"/>
                <w:sz w:val="20"/>
                <w:szCs w:val="20"/>
                <w:lang w:val="it-IT"/>
              </w:rPr>
              <w:t>Explice si să interpreteze o serie de proprietăti, concepte, abordări, teorii,modele si noţiuni fundamentale privind bazele chimiei organice.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10244D" w:rsidRPr="00C7461A" w:rsidTr="00D84067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8. Conţinut</w:t>
            </w:r>
          </w:p>
        </w:tc>
      </w:tr>
      <w:tr w:rsidR="0010244D" w:rsidRPr="00C7461A" w:rsidTr="00D8406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Observaţii</w:t>
            </w:r>
          </w:p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10244D" w:rsidRPr="00C7461A" w:rsidTr="00D84067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b/>
                <w:noProof/>
                <w:sz w:val="20"/>
                <w:szCs w:val="20"/>
              </w:rPr>
            </w:pPr>
            <w:r w:rsidRPr="00C7461A">
              <w:rPr>
                <w:b/>
                <w:noProof/>
                <w:sz w:val="20"/>
                <w:szCs w:val="20"/>
              </w:rPr>
              <w:t>Partea I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I. DEFINIŢIA, OBIECTUL ŞI CARACTERUL SPECIFIC AL CHIMIEI ORGANICE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(1,5 ore, [1-6])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II. ACIDITATE ŞI BAZICITATE. LEGĂTURI CHIMICE ÎN CHIMIA ORGANICĂ. INTERACŢIUNI DE NELEGĂTURĂ. UNELE PROPRIETATI FIZICE ALE COMPUSILOR ORGANICI. EFECTE ELECTRONICE.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 xml:space="preserve">II.1. Aciditate si bazicitate. Teoria Lewis si </w:t>
            </w:r>
            <w:r w:rsidRPr="00C7461A">
              <w:rPr>
                <w:sz w:val="20"/>
                <w:szCs w:val="20"/>
                <w:lang w:val="ro-RO"/>
              </w:rPr>
              <w:lastRenderedPageBreak/>
              <w:t>Bronsted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II.2. Legaturi chimice in chimia organica: legatura covalenta, legatura ionica, legatura coordinativa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II.3. Geometria moleculelor organice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II.4. Momente de dipol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ro-RO"/>
              </w:rPr>
            </w:pPr>
            <w:r w:rsidRPr="00C7461A">
              <w:rPr>
                <w:sz w:val="20"/>
                <w:szCs w:val="20"/>
                <w:lang w:val="ro-RO"/>
              </w:rPr>
              <w:t>II.5. Efectul inductiv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ro-RO"/>
              </w:rPr>
              <w:t>II.6. Efectul electromer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lastRenderedPageBreak/>
              <w:t>Prelegerea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(7,5 ore, [1-6])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III. IZOMERIE 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III.1. Izomeria de constitutie: catene, functiune, pozitie, valenta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 Stereoizomeria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III. 2.1. Izomeria de conformatie (la compusi aciclici si ciclici)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III.2.2. Izomeria de configuratie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pt-BR"/>
              </w:rPr>
            </w:pPr>
            <w:r w:rsidRPr="00C7461A">
              <w:rPr>
                <w:sz w:val="20"/>
                <w:szCs w:val="20"/>
                <w:lang w:val="pt-BR"/>
              </w:rPr>
              <w:t>III.2.2.1. Diasterioizomeria E-Z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pt-BR"/>
              </w:rPr>
              <w:t>III.2.2.2. Enantiomeria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7,5</w:t>
            </w:r>
            <w:r w:rsidRPr="00C7461A">
              <w:rPr>
                <w:noProof/>
                <w:sz w:val="20"/>
                <w:szCs w:val="20"/>
              </w:rPr>
              <w:t xml:space="preserve"> ore, [1-6])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IV. INTERMEDIARI.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IV.1.Radicali liberi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IV.2. Carbocationi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IV.3. Carbanioni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IV.4. Carbene, nitrene, etc.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IV.5. Ioni-radicali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(3 ore, [1-6])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V. CLASIFICAREA REACTIILOR CHIMICE IN CHIMIA ORGANICA. NOTIUMI DE REACTIVITATE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C7461A">
              <w:rPr>
                <w:sz w:val="20"/>
                <w:szCs w:val="20"/>
                <w:lang w:val="it-IT"/>
              </w:rPr>
              <w:t>V.1. Clasificarea reactiilor chimice</w:t>
            </w:r>
          </w:p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V.2. Notiuni generale de reactivitate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Prelegerea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Conversaţia </w:t>
            </w:r>
          </w:p>
          <w:p w:rsidR="0010244D" w:rsidRPr="00C7461A" w:rsidRDefault="0010244D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Descrierea</w:t>
            </w:r>
          </w:p>
          <w:p w:rsidR="0010244D" w:rsidRPr="00C7461A" w:rsidRDefault="0010244D" w:rsidP="00D84067">
            <w:pPr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(1,5 ore, [1-6])</w:t>
            </w:r>
          </w:p>
        </w:tc>
      </w:tr>
      <w:tr w:rsidR="0010244D" w:rsidRPr="00C7461A" w:rsidTr="00D84067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C7461A">
              <w:rPr>
                <w:b/>
                <w:bCs/>
                <w:noProof/>
                <w:color w:val="000000"/>
                <w:sz w:val="20"/>
                <w:szCs w:val="20"/>
              </w:rPr>
              <w:t xml:space="preserve">Bibliografie </w:t>
            </w:r>
          </w:p>
          <w:p w:rsidR="0010244D" w:rsidRPr="00C7461A" w:rsidRDefault="0010244D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7461A">
              <w:rPr>
                <w:rFonts w:ascii="Times New Roman" w:hAnsi="Times New Roman"/>
                <w:sz w:val="20"/>
                <w:szCs w:val="20"/>
                <w:lang w:val="ro-RO"/>
              </w:rPr>
              <w:t>1. Neniţescu, C.D. Chimie Organică, Vol. I, II, Ed. Didactică şi Pedagogică, Bucucureşti, 1980.</w:t>
            </w:r>
          </w:p>
          <w:p w:rsidR="0010244D" w:rsidRPr="00C7461A" w:rsidRDefault="0010244D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2. a. Ege, Seyhan. Organic Chemistry, 2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 xml:space="preserve"> Edition, D.C. Heath and Company, Lexington, Massachusets/Toronto, 1989; b. Ege, Seyhan. Organic Chemistry, 4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 xml:space="preserve"> Edition, Hugton-Mifflin, 1998;</w:t>
            </w:r>
          </w:p>
          <w:p w:rsidR="0010244D" w:rsidRPr="00C7461A" w:rsidRDefault="0010244D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3. Solomons, T.W.G. Fundamentals of Organic Chemistry, 5</w:t>
            </w:r>
            <w:r w:rsidRPr="00C7461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th 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>Edition, John Wiley &amp; Sons, New York/ Chichester/Brisbane/Toronto/Singapore, 1992</w:t>
            </w:r>
          </w:p>
          <w:p w:rsidR="0010244D" w:rsidRPr="00C7461A" w:rsidRDefault="0010244D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4. Avram, M. Chimie Organică, Ed. </w:t>
            </w:r>
            <w:r w:rsidRPr="00C7461A">
              <w:rPr>
                <w:rFonts w:ascii="Times New Roman" w:hAnsi="Times New Roman"/>
                <w:sz w:val="20"/>
                <w:szCs w:val="20"/>
              </w:rPr>
              <w:t>Zecasian, Bucucureşti,1999.</w:t>
            </w:r>
          </w:p>
          <w:p w:rsidR="0010244D" w:rsidRPr="00C7461A" w:rsidRDefault="0010244D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>5. Vollhardt, K.P.C.; Schore, N.E.; Organic Chemistry, W.H. Freeman and Company, New York, 2002.</w:t>
            </w:r>
          </w:p>
          <w:p w:rsidR="0010244D" w:rsidRPr="00C7461A" w:rsidRDefault="0010244D" w:rsidP="00D84067">
            <w:pPr>
              <w:pStyle w:val="BodyText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C7461A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C7461A">
              <w:rPr>
                <w:rFonts w:ascii="Times New Roman" w:hAnsi="Times New Roman"/>
                <w:sz w:val="20"/>
                <w:szCs w:val="20"/>
                <w:lang w:val="it-IT"/>
              </w:rPr>
              <w:t>Mangalagiu, I. : Probleme de chimie organică, Ed. Dosoftei, IASI, 2000.</w:t>
            </w:r>
          </w:p>
          <w:p w:rsidR="0010244D" w:rsidRPr="00C7461A" w:rsidRDefault="0010244D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 xml:space="preserve">7. </w:t>
            </w:r>
            <w:r w:rsidRPr="00C7461A">
              <w:rPr>
                <w:sz w:val="20"/>
                <w:szCs w:val="20"/>
              </w:rPr>
              <w:t xml:space="preserve">Nicolaescu, T., Cireş, L.: Chimia hidrocarburilor, Ed. Univ. </w:t>
            </w:r>
            <w:r w:rsidRPr="00C7461A">
              <w:rPr>
                <w:sz w:val="20"/>
                <w:szCs w:val="20"/>
                <w:lang w:val="it-IT"/>
              </w:rPr>
              <w:t>“Al. I. Cuza” Iaşi (rotaprint), Iaşi, 1996.</w:t>
            </w:r>
          </w:p>
        </w:tc>
      </w:tr>
      <w:tr w:rsidR="0010244D" w:rsidRPr="00C7461A" w:rsidTr="00D8406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10244D" w:rsidRPr="00C7461A" w:rsidRDefault="0010244D" w:rsidP="00D84067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Protectia muncii. Documentarea in chimia organica. Cunoasterea ustensilelor de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Analiza elementală calitativă în chimia organică.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Distilarea. Teoria distilării. Distilarea simplă.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2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C7461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9F29EA" w:rsidRDefault="0010244D" w:rsidP="00D84067">
            <w:pPr>
              <w:ind w:left="57"/>
              <w:rPr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Cristalizarea. Recristalizarea. Sublimarea.</w:t>
            </w:r>
            <w:r w:rsidRPr="00C7461A">
              <w:rPr>
                <w:sz w:val="20"/>
                <w:szCs w:val="20"/>
              </w:rPr>
              <w:t xml:space="preserve"> Determinarea punctului de topire.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10244D" w:rsidRPr="00C7461A" w:rsidTr="00D84067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Pr="00C7461A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Default="0010244D" w:rsidP="00D84067">
            <w:pPr>
              <w:ind w:left="57"/>
              <w:rPr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Extracţia. Extracţia lichid-lichid, solid-lichid (simpla si continua). </w:t>
            </w:r>
            <w:r w:rsidRPr="00C7461A">
              <w:rPr>
                <w:sz w:val="20"/>
                <w:szCs w:val="20"/>
              </w:rPr>
              <w:t xml:space="preserve"> </w:t>
            </w:r>
          </w:p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410107">
              <w:rPr>
                <w:sz w:val="18"/>
                <w:szCs w:val="18"/>
              </w:rPr>
              <w:t>Test final. Evaluarea rezultatelor.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>Experimentul; 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>3</w:t>
            </w:r>
            <w:r w:rsidRPr="00C7461A">
              <w:rPr>
                <w:noProof/>
                <w:sz w:val="20"/>
                <w:szCs w:val="20"/>
              </w:rPr>
              <w:t xml:space="preserve"> ore, [1-4])</w:t>
            </w:r>
          </w:p>
        </w:tc>
      </w:tr>
      <w:tr w:rsidR="0010244D" w:rsidRPr="00C7461A" w:rsidTr="00D84067">
        <w:trPr>
          <w:trHeight w:val="1366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44D" w:rsidRPr="00C7461A" w:rsidRDefault="0010244D" w:rsidP="00D84067">
            <w:pPr>
              <w:ind w:left="57"/>
              <w:rPr>
                <w:b/>
                <w:bCs/>
                <w:noProof/>
                <w:color w:val="000000"/>
                <w:sz w:val="20"/>
                <w:szCs w:val="20"/>
              </w:rPr>
            </w:pPr>
            <w:r w:rsidRPr="00C7461A">
              <w:rPr>
                <w:b/>
                <w:bCs/>
                <w:noProof/>
                <w:color w:val="000000"/>
                <w:sz w:val="20"/>
                <w:szCs w:val="20"/>
              </w:rPr>
              <w:t>Bibliografie</w:t>
            </w:r>
          </w:p>
          <w:p w:rsidR="0010244D" w:rsidRPr="00C7461A" w:rsidRDefault="0010244D" w:rsidP="00D84067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1. Vogel, A.: Practical Organic Chemistry, Longmas, 3th Ed., 1961.</w:t>
            </w:r>
          </w:p>
          <w:p w:rsidR="0010244D" w:rsidRPr="00C7461A" w:rsidRDefault="0010244D" w:rsidP="00D84067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2. Moldoveanu, C.; Zbancioc, Ghe; Butnariu, R.; Balan, A.M.; Florea, O.; Mangalagiu, I.I.: Bazele chimiei organice – Manual de laborator, Editura Universitatii Al.I.Cuza Iasi, 2008.</w:t>
            </w:r>
          </w:p>
          <w:p w:rsidR="0010244D" w:rsidRPr="00C7461A" w:rsidRDefault="0010244D" w:rsidP="00D84067">
            <w:pPr>
              <w:ind w:left="720"/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>3. Organicum-„Chimie organică şi practică” – Ed. Ştiinţifică şi Tehnică, Bucureşti, 1982.</w:t>
            </w:r>
          </w:p>
          <w:p w:rsidR="0010244D" w:rsidRPr="00C7461A" w:rsidRDefault="0010244D" w:rsidP="00D84067">
            <w:pPr>
              <w:ind w:left="720"/>
              <w:jc w:val="both"/>
              <w:rPr>
                <w:color w:val="000000"/>
                <w:lang w:val="ro-RO"/>
              </w:rPr>
            </w:pPr>
            <w:r w:rsidRPr="00C7461A">
              <w:rPr>
                <w:color w:val="000000"/>
                <w:sz w:val="20"/>
                <w:szCs w:val="20"/>
                <w:lang w:val="ro-RO"/>
              </w:rPr>
              <w:t xml:space="preserve">4. </w:t>
            </w:r>
            <w:r w:rsidRPr="00C7461A">
              <w:rPr>
                <w:sz w:val="20"/>
                <w:szCs w:val="20"/>
                <w:lang w:val="it-IT"/>
              </w:rPr>
              <w:t>Mangalagiu, I. : Probleme de chimie organică, Ed. Dosoftei, IASI, 2000.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FD625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  <w:r w:rsidR="009A28DC" w:rsidRPr="00C7461A">
              <w:rPr>
                <w:noProof/>
                <w:sz w:val="20"/>
                <w:lang w:val="it-IT"/>
              </w:rPr>
              <w:t xml:space="preserve">După parcurgerea şi promovarea disciplinei, studentul va avea cunoştinţele teoretice şi abiltăţile practice in domeniul </w:t>
            </w:r>
            <w:r w:rsidR="009A28DC">
              <w:rPr>
                <w:noProof/>
                <w:sz w:val="20"/>
                <w:lang w:val="it-IT"/>
              </w:rPr>
              <w:t>bazelor chimiei organice</w:t>
            </w:r>
            <w:r w:rsidR="009A28DC" w:rsidRPr="00C7461A">
              <w:rPr>
                <w:noProof/>
                <w:sz w:val="20"/>
                <w:lang w:val="it-IT"/>
              </w:rPr>
              <w:t>. Acestea ii vor permite sa dobândească principiile şi metodele experimentale de bază pentru toate celelalte laboratoare de chimie si totodata sa detina competente pentru a putea desfasura activitati in diverse domenii de activitate dum ar fi: laboratoare de analiza din spitale si institute de cercetare, laboratoare farmaceutice si industriale, functionar cu abilitati pe domeniu chimie.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2A718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FD6258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A76853" w:rsidTr="00E37BC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Default="00A768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853" w:rsidRPr="00C7461A" w:rsidRDefault="00A76853" w:rsidP="00D84067">
            <w:pPr>
              <w:rPr>
                <w:sz w:val="20"/>
                <w:szCs w:val="20"/>
                <w:lang w:val="it-IT"/>
              </w:rPr>
            </w:pPr>
            <w:r w:rsidRPr="00C7461A">
              <w:rPr>
                <w:sz w:val="20"/>
                <w:szCs w:val="20"/>
                <w:lang w:val="it-IT"/>
              </w:rPr>
              <w:t>Corectitudinea răspunsurilor, înţelegerea şi aplicarea corectă a problematicii tratate la curs.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Pr="00C7461A" w:rsidRDefault="00A76853" w:rsidP="00D84067">
            <w:pPr>
              <w:rPr>
                <w:sz w:val="20"/>
                <w:szCs w:val="20"/>
              </w:rPr>
            </w:pPr>
            <w:r w:rsidRPr="00C7461A">
              <w:rPr>
                <w:sz w:val="20"/>
                <w:szCs w:val="20"/>
              </w:rPr>
              <w:t xml:space="preserve">Verificarea periodica + 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Pr="004C44B6" w:rsidRDefault="00A76853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4C44B6">
              <w:rPr>
                <w:noProof/>
                <w:sz w:val="20"/>
                <w:szCs w:val="20"/>
              </w:rPr>
              <w:t>0</w:t>
            </w:r>
          </w:p>
        </w:tc>
      </w:tr>
      <w:tr w:rsidR="00A7685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Default="00A7685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Pr="00C7461A" w:rsidRDefault="00A76853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 xml:space="preserve">Corectitudinea răspunsurilor, însuşirea şi înţelegerea corectă a problematicii tratate la laborator. Îndeplinierea obiectivelor practice.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Pr="00C7461A" w:rsidRDefault="00A76853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Efectuarea integrală a lucrărilor de laborator este obligatorie</w:t>
            </w:r>
            <w:r>
              <w:rPr>
                <w:noProof/>
                <w:sz w:val="20"/>
                <w:szCs w:val="20"/>
              </w:rPr>
              <w:t xml:space="preserve">. </w:t>
            </w:r>
          </w:p>
          <w:p w:rsidR="00A76853" w:rsidRPr="00C7461A" w:rsidRDefault="00A76853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Verificarea periodica + test final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Pr="004C44B6" w:rsidRDefault="00A76853" w:rsidP="00D84067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4C44B6">
              <w:rPr>
                <w:noProof/>
                <w:sz w:val="20"/>
                <w:szCs w:val="20"/>
              </w:rPr>
              <w:t>0</w:t>
            </w:r>
          </w:p>
        </w:tc>
      </w:tr>
      <w:tr w:rsidR="00FD625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6258" w:rsidRDefault="002A71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D625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6853" w:rsidRPr="00C7461A" w:rsidRDefault="002A718D" w:rsidP="00A76853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76853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76853" w:rsidRPr="00C7461A">
              <w:rPr>
                <w:noProof/>
                <w:sz w:val="20"/>
                <w:szCs w:val="20"/>
              </w:rPr>
              <w:t>Stabilirea structurii şi reactivităţii compuşilor chimici studiaţi, aplicând modele şi teorii adecvate</w:t>
            </w:r>
            <w:r w:rsidR="00A76853">
              <w:rPr>
                <w:noProof/>
                <w:sz w:val="20"/>
                <w:szCs w:val="20"/>
              </w:rPr>
              <w:t>.</w:t>
            </w:r>
          </w:p>
          <w:p w:rsidR="00A76853" w:rsidRPr="00C7461A" w:rsidRDefault="00A76853" w:rsidP="00A76853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</w:rPr>
              <w:t>Utilizarea corectă a metodelor şi tehnicilor, a materialelor, substanţelor şi aparaturii cu respectarea normelor de securitate şi sănătate în muncă la efectuarea unui experiment chimic.</w:t>
            </w:r>
            <w:r w:rsidRPr="00C7461A">
              <w:rPr>
                <w:noProof/>
                <w:sz w:val="20"/>
                <w:szCs w:val="20"/>
              </w:rPr>
              <w:tab/>
            </w:r>
          </w:p>
          <w:p w:rsidR="00A76853" w:rsidRPr="00C7461A" w:rsidRDefault="00A76853" w:rsidP="00A76853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Determinarea structurii si stabilirea proprietăţilor fizico-chimice ale compușilor chimici </w:t>
            </w:r>
          </w:p>
          <w:p w:rsidR="00FD6258" w:rsidRDefault="00A76853" w:rsidP="00A7685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Efectuarea unei documentari adecvate referitoare la sinteza si proprietățile unui compus chimic şi realizarea autonoma a experimentelor.</w:t>
            </w:r>
          </w:p>
        </w:tc>
      </w:tr>
    </w:tbl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p w:rsidR="00FD6258" w:rsidRDefault="00FD6258">
      <w:pPr>
        <w:rPr>
          <w:rFonts w:eastAsia="Times New Roman"/>
          <w:color w:val="000000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106213" w:rsidRPr="00C7461A" w:rsidTr="00D84067">
        <w:tc>
          <w:tcPr>
            <w:tcW w:w="2448" w:type="dxa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it-IT"/>
              </w:rPr>
              <w:t>Titular de cur</w:t>
            </w:r>
            <w:r w:rsidRPr="00C7461A">
              <w:rPr>
                <w:noProof/>
                <w:sz w:val="20"/>
                <w:szCs w:val="20"/>
              </w:rPr>
              <w:t>s</w:t>
            </w:r>
          </w:p>
        </w:tc>
        <w:tc>
          <w:tcPr>
            <w:tcW w:w="3420" w:type="dxa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Titular de laborator</w:t>
            </w:r>
          </w:p>
        </w:tc>
      </w:tr>
      <w:tr w:rsidR="00106213" w:rsidRPr="00C7461A" w:rsidTr="00D84067">
        <w:tc>
          <w:tcPr>
            <w:tcW w:w="2448" w:type="dxa"/>
          </w:tcPr>
          <w:p w:rsidR="00106213" w:rsidRPr="00C7461A" w:rsidRDefault="00865516" w:rsidP="00D84067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28-09-2024</w:t>
            </w:r>
            <w:bookmarkStart w:id="0" w:name="_GoBack"/>
            <w:bookmarkEnd w:id="0"/>
          </w:p>
        </w:tc>
        <w:tc>
          <w:tcPr>
            <w:tcW w:w="3780" w:type="dxa"/>
            <w:gridSpan w:val="2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106213" w:rsidRPr="00C7461A" w:rsidTr="00D84067">
        <w:tc>
          <w:tcPr>
            <w:tcW w:w="2448" w:type="dxa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 xml:space="preserve">Prof.dr. Ionel </w:t>
            </w:r>
            <w:r>
              <w:rPr>
                <w:noProof/>
                <w:sz w:val="20"/>
                <w:szCs w:val="20"/>
              </w:rPr>
              <w:t>Mangalagiu</w:t>
            </w:r>
          </w:p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106213" w:rsidRDefault="00911761" w:rsidP="00D84067">
            <w:pPr>
              <w:ind w:left="-108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Conf</w:t>
            </w:r>
            <w:r w:rsidR="00106213" w:rsidRPr="00C7461A">
              <w:rPr>
                <w:noProof/>
                <w:sz w:val="20"/>
                <w:szCs w:val="20"/>
              </w:rPr>
              <w:t xml:space="preserve">.dr. </w:t>
            </w:r>
            <w:r w:rsidR="00106213">
              <w:rPr>
                <w:noProof/>
                <w:sz w:val="20"/>
                <w:szCs w:val="20"/>
              </w:rPr>
              <w:t>Vasilichia</w:t>
            </w:r>
            <w:r w:rsidR="00106213" w:rsidRPr="00C7461A">
              <w:rPr>
                <w:noProof/>
                <w:sz w:val="20"/>
                <w:szCs w:val="20"/>
              </w:rPr>
              <w:t xml:space="preserve"> </w:t>
            </w:r>
            <w:r w:rsidR="00106213">
              <w:rPr>
                <w:noProof/>
                <w:sz w:val="20"/>
                <w:szCs w:val="20"/>
                <w:lang w:val="ro-RO"/>
              </w:rPr>
              <w:t>Antoci</w:t>
            </w:r>
          </w:p>
          <w:p w:rsidR="00106213" w:rsidRPr="00911761" w:rsidRDefault="00911761" w:rsidP="00D84067">
            <w:pPr>
              <w:ind w:left="-108"/>
              <w:rPr>
                <w:noProof/>
                <w:sz w:val="20"/>
                <w:szCs w:val="20"/>
              </w:rPr>
            </w:pPr>
            <w:r w:rsidRPr="00911761">
              <w:rPr>
                <w:noProof/>
                <w:sz w:val="20"/>
              </w:rPr>
              <w:t>Asistent dr. Dumitrela DIACONU</w:t>
            </w:r>
          </w:p>
          <w:p w:rsidR="00106213" w:rsidRPr="00C7461A" w:rsidRDefault="00106213" w:rsidP="00D84067">
            <w:pPr>
              <w:ind w:left="-108"/>
              <w:rPr>
                <w:noProof/>
                <w:sz w:val="20"/>
                <w:szCs w:val="20"/>
              </w:rPr>
            </w:pPr>
          </w:p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106213" w:rsidRPr="00C7461A" w:rsidTr="00D84067">
        <w:trPr>
          <w:trHeight w:val="258"/>
        </w:trPr>
        <w:tc>
          <w:tcPr>
            <w:tcW w:w="4428" w:type="dxa"/>
            <w:gridSpan w:val="2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</w:rPr>
              <w:t>Director de departament</w:t>
            </w:r>
          </w:p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  <w:r w:rsidRPr="00C7461A">
              <w:rPr>
                <w:noProof/>
                <w:sz w:val="20"/>
                <w:szCs w:val="20"/>
                <w:lang w:val="ro-RO"/>
              </w:rPr>
              <w:t>Prof.dr.habil. Mihail-Lucian B</w:t>
            </w:r>
            <w:r>
              <w:rPr>
                <w:noProof/>
                <w:sz w:val="20"/>
                <w:szCs w:val="20"/>
                <w:lang w:val="ro-RO"/>
              </w:rPr>
              <w:t>ÎRSĂ</w:t>
            </w:r>
          </w:p>
        </w:tc>
      </w:tr>
      <w:tr w:rsidR="00106213" w:rsidRPr="00C7461A" w:rsidTr="00D84067">
        <w:tc>
          <w:tcPr>
            <w:tcW w:w="4428" w:type="dxa"/>
            <w:gridSpan w:val="2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106213" w:rsidRPr="00C7461A" w:rsidRDefault="00106213" w:rsidP="00D84067">
            <w:pPr>
              <w:ind w:left="57"/>
              <w:rPr>
                <w:noProof/>
                <w:sz w:val="20"/>
                <w:szCs w:val="20"/>
              </w:rPr>
            </w:pPr>
          </w:p>
        </w:tc>
      </w:tr>
    </w:tbl>
    <w:p w:rsidR="002A718D" w:rsidRDefault="002A718D">
      <w:pPr>
        <w:rPr>
          <w:rFonts w:eastAsia="Times New Roman"/>
        </w:rPr>
      </w:pPr>
    </w:p>
    <w:sectPr w:rsidR="002A718D" w:rsidSect="00FD6258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286C"/>
    <w:multiLevelType w:val="multilevel"/>
    <w:tmpl w:val="F7C8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E9E198E"/>
    <w:multiLevelType w:val="multilevel"/>
    <w:tmpl w:val="FF46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6E8"/>
    <w:rsid w:val="0010244D"/>
    <w:rsid w:val="00106213"/>
    <w:rsid w:val="00112634"/>
    <w:rsid w:val="00185E5F"/>
    <w:rsid w:val="002166E8"/>
    <w:rsid w:val="002A718D"/>
    <w:rsid w:val="0032075C"/>
    <w:rsid w:val="00552C77"/>
    <w:rsid w:val="005F44E0"/>
    <w:rsid w:val="00865516"/>
    <w:rsid w:val="008F4F9E"/>
    <w:rsid w:val="008F6B9E"/>
    <w:rsid w:val="00911761"/>
    <w:rsid w:val="009A28DC"/>
    <w:rsid w:val="00A46E43"/>
    <w:rsid w:val="00A76853"/>
    <w:rsid w:val="00B71F0E"/>
    <w:rsid w:val="00DB3F62"/>
    <w:rsid w:val="00F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66B1E5-2BC2-4B2D-9CB8-9B6F6F72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258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58"/>
    <w:pPr>
      <w:spacing w:before="15" w:after="15"/>
    </w:pPr>
  </w:style>
  <w:style w:type="paragraph" w:customStyle="1" w:styleId="antetpagina">
    <w:name w:val="antet_pagina"/>
    <w:basedOn w:val="Normal"/>
    <w:rsid w:val="00FD6258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rsid w:val="00FD6258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FD6258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FD6258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FD6258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FD6258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77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0244D"/>
    <w:pPr>
      <w:spacing w:after="120"/>
    </w:pPr>
    <w:rPr>
      <w:rFonts w:ascii="Cambria" w:eastAsia="MS Mincho" w:hAnsi="Cambri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244D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1504</Words>
  <Characters>8575</Characters>
  <Application>Microsoft Office Word</Application>
  <DocSecurity>0</DocSecurity>
  <Lines>71</Lines>
  <Paragraphs>20</Paragraphs>
  <ScaleCrop>false</ScaleCrop>
  <Company>Grizli777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OrgChem</dc:creator>
  <cp:lastModifiedBy>user</cp:lastModifiedBy>
  <cp:revision>15</cp:revision>
  <dcterms:created xsi:type="dcterms:W3CDTF">2023-10-31T12:10:00Z</dcterms:created>
  <dcterms:modified xsi:type="dcterms:W3CDTF">2024-10-04T08:42:00Z</dcterms:modified>
</cp:coreProperties>
</file>