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9065A" w14:textId="77777777" w:rsidR="00C3512E" w:rsidRDefault="00A27F1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74662D2E" wp14:editId="0EE0430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AA573E7" w14:textId="77777777" w:rsidR="00C3512E" w:rsidRDefault="00A27F1C">
      <w:pPr>
        <w:pStyle w:val="titludiscplan"/>
      </w:pPr>
      <w:r>
        <w:t>FIŞA DISCIPLINEI</w:t>
      </w:r>
    </w:p>
    <w:p w14:paraId="785C2A26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3512E" w14:paraId="07F0BD8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9EDB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14D57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C3512E" w14:paraId="2064328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2BF8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96FD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3512E" w14:paraId="46D76BD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F2E09F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A0187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3512E" w14:paraId="1FD25BE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1E6EF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153D0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3512E" w14:paraId="4424C2E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1D8A0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4452A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C3512E" w14:paraId="5EB776E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56AF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F539CE" w14:textId="73CCC112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</w:t>
            </w:r>
            <w:r w:rsidR="0040327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 mediului și siguranță alimentară</w:t>
            </w:r>
          </w:p>
        </w:tc>
      </w:tr>
    </w:tbl>
    <w:p w14:paraId="3F58E79D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50BA4342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C3512E" w14:paraId="036FAFA9" w14:textId="77777777" w:rsidTr="002050A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310E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CEE53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Toxicologie analitică</w:t>
            </w:r>
          </w:p>
        </w:tc>
      </w:tr>
      <w:tr w:rsidR="002050A0" w14:paraId="0CB81F70" w14:textId="77777777" w:rsidTr="002050A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2A123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CA523" w14:textId="0118642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Conf. Univ. Dr. Alin C. DÎRȚU</w:t>
            </w:r>
          </w:p>
        </w:tc>
      </w:tr>
      <w:tr w:rsidR="002050A0" w14:paraId="2851D695" w14:textId="77777777" w:rsidTr="002050A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9AB87F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4AB70" w14:textId="591221A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Conf. Univ. Dr. Alin C. DÎRȚU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3512E" w14:paraId="19498776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A1E55F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E96625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00843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DD05AD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2F93A5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3FD398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53FF8" w14:textId="37B59CE6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A50BC9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93C717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34DE85FF" w14:textId="77777777" w:rsidR="00C3512E" w:rsidRDefault="00A27F1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57C75017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14587500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C3512E" w14:paraId="71E7C10D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8D310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9EC3F0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FCBB1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C628A8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128954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2B1C41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3512E" w14:paraId="341AEA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60EF3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D86A9A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E661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20745F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1D5ACB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31085F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C3512E" w14:paraId="56683CD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97572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F76EF3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3512E" w14:paraId="391315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F1DDE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DB387F" w14:textId="317C64F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</w:tr>
      <w:tr w:rsidR="00C3512E" w14:paraId="37066AF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EFC5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939D4E" w14:textId="2C61E42F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3512E" w14:paraId="0B4C069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415C7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8534EB" w14:textId="1B4FEA46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3512E" w14:paraId="06E5E4C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5CC4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9AE8E8" w14:textId="6E395D8D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3512E" w14:paraId="78A24E8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864743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68AC30" w14:textId="4BBDD024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3512E" w14:paraId="3DE80E5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C825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120F76" w14:textId="4BE6DE21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C3512E" w14:paraId="6FC3909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7BE03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D55CDC3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3512E" w14:paraId="6C35936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01B5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75FB45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C3512E" w14:paraId="48B84A1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63E041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9F0CBC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C3512E" w14:paraId="329AED3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FEF3E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DFAA74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7C8A74D2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66B09E70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3512E" w14:paraId="79C349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BB1C2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3412D5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3512E" w14:paraId="3036373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CF35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7100BD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AF109AE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7C0D23BC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3512E" w14:paraId="785366F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20E71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4E710A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3512E" w14:paraId="10B0D54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320B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2B3C30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AF1F3F4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5F28D392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03276" w14:paraId="42312B0B" w14:textId="77777777" w:rsidTr="00513023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972AA" w14:textId="36FEDE2F" w:rsidR="00403276" w:rsidRDefault="00403276" w:rsidP="0040327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0C686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CP1.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 și sinteză, bazată pe utilizarea unor metode științifice riguroase și a tuturor resurselor de informație în orice context profesional și social.</w:t>
            </w:r>
          </w:p>
          <w:p w14:paraId="6718B173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CP2.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Managementul laboratoarelor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calității.</w:t>
            </w:r>
          </w:p>
          <w:p w14:paraId="62CD1FAD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CP3.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 respecta regulile de etică și deontologie profesională.</w:t>
            </w:r>
          </w:p>
          <w:p w14:paraId="7D1B1CD6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CP4.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</w:p>
          <w:p w14:paraId="102CBB5D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CP5.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muncă, în laboratoare de mediu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laboratoare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siguranţa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analiza alimentelor.</w:t>
            </w:r>
          </w:p>
          <w:p w14:paraId="22FAE623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CP6.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caracterizarea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 din mediu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alimente.</w:t>
            </w:r>
          </w:p>
          <w:p w14:paraId="46CC4595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CP7.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Analiza critică, identificarea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/sau tehnicilor, a materialelor,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aparaturii necesare, precum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pentru efectuarea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laborator în domeniul chimiei mediului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chimiei alimentare.</w:t>
            </w:r>
          </w:p>
          <w:p w14:paraId="674F72B6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CP8.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Analiza critică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identificarea aspectelor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transdisciplinare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domenii conexe chimiei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poluanţilor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aditivilor alimentari.</w:t>
            </w:r>
          </w:p>
          <w:p w14:paraId="545303E6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CP9.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principiilor teoretice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educaţionale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perfecţionarea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profesională în domeniul chimiei mediului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chimiei alimentare.</w:t>
            </w:r>
          </w:p>
          <w:p w14:paraId="68C0A970" w14:textId="1C1F5218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CP10.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unor criterii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standarde specifice de evaluare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poluanţilor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mediu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aditivilor alimentari. </w:t>
            </w:r>
          </w:p>
        </w:tc>
      </w:tr>
      <w:tr w:rsidR="00403276" w14:paraId="1295596D" w14:textId="77777777" w:rsidTr="00513023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4D1A69" w14:textId="2C77C219" w:rsidR="00403276" w:rsidRDefault="00403276" w:rsidP="0040327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77747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CT1.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operaționale și de timp.</w:t>
            </w:r>
          </w:p>
          <w:p w14:paraId="662A8B78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CT2.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științifice.</w:t>
            </w:r>
          </w:p>
          <w:p w14:paraId="349A6107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CT3.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normelor de securitate în muncă, deontologice și etice.</w:t>
            </w:r>
          </w:p>
          <w:p w14:paraId="478B5FB2" w14:textId="77777777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CT4.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relație cu profesia și particularitățile individuale ale persoanelor din colectivul profesional.</w:t>
            </w:r>
          </w:p>
          <w:p w14:paraId="6FFB310B" w14:textId="48E2FAE4" w:rsidR="00403276" w:rsidRDefault="00403276" w:rsidP="0040327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CT5.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unei abordări interculturale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echitabile în diverse aspecte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contexte de activitate profesională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inter-umane. </w:t>
            </w:r>
          </w:p>
        </w:tc>
      </w:tr>
    </w:tbl>
    <w:p w14:paraId="069469C4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06AA3C67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3512E" w14:paraId="4F31FEC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DBF7B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BC99A" w14:textId="52303C5F" w:rsidR="00C3512E" w:rsidRDefault="002050A0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Cursul are ca scop abordarea riguroasă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sistematică a analizei probelor complexe (în special probe biologice) în vederea identificării/cuantificării unor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toxici și ulterior a stabilirii relevanței toxicologice a prezenței acestora în diferite medii biologice sau alte compartimente de mediu. Cursul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urmăreşte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familiarizarea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studenţilor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cu sistematica analizei plecând de la tehnici de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sampling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specifice probelor biologice, prelucrarea probelor pentru analiză,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selecţionarea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metodelor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tehnicilor de analiză, prelucrarea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 specifice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învăţând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să coreleze natura chimică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metodele de analiză pentru câteva grupe majore de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toxici.</w:t>
            </w:r>
            <w:r w:rsidR="00A27F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3512E" w14:paraId="30879C7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07C60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3C03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6A5B14C6" w14:textId="77777777" w:rsidR="002050A0" w:rsidRDefault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381A0A2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Explice principiile de lucru în vederea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determinării unor contaminanți organici în contextul </w:t>
            </w: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analizelor toxicologice </w:t>
            </w:r>
          </w:p>
          <w:p w14:paraId="1EFC08F2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Descrie metodele de analiză toxicologică</w:t>
            </w:r>
          </w:p>
          <w:p w14:paraId="45EFF831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Utilizeze instrumentele de lucru aplicate în an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alizele de toxicologie analitică</w:t>
            </w:r>
          </w:p>
          <w:p w14:paraId="22114632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Analizeze probe selectate în vederea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evidențierii proprietăț</w:t>
            </w: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i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lor toxicologice ale unor compuș</w:t>
            </w: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i chimici</w:t>
            </w:r>
          </w:p>
          <w:p w14:paraId="385F0676" w14:textId="0BBEB034" w:rsidR="00C3512E" w:rsidRDefault="002050A0" w:rsidP="002050A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Calculeze rezultatele obținute în vederea determinării toxicității unor substanț</w:t>
            </w:r>
            <w:r w:rsidRPr="00BD7E36">
              <w:rPr>
                <w:bCs/>
                <w:noProof/>
                <w:sz w:val="20"/>
                <w:szCs w:val="20"/>
                <w:lang w:val="fr-FR"/>
              </w:rPr>
              <w:t>e c</w:t>
            </w:r>
            <w:r>
              <w:rPr>
                <w:bCs/>
                <w:noProof/>
                <w:sz w:val="20"/>
                <w:szCs w:val="20"/>
                <w:lang w:val="fr-FR"/>
              </w:rPr>
              <w:t>h</w:t>
            </w:r>
            <w:r w:rsidRPr="00BD7E36">
              <w:rPr>
                <w:bCs/>
                <w:noProof/>
                <w:sz w:val="20"/>
                <w:szCs w:val="20"/>
                <w:lang w:val="fr-FR"/>
              </w:rPr>
              <w:t>imice</w:t>
            </w:r>
          </w:p>
        </w:tc>
      </w:tr>
    </w:tbl>
    <w:p w14:paraId="5D8AFCB0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380CDC41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C3512E" w14:paraId="6E859A2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6A8E2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CD851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638D5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139DD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2050A0" w14:paraId="1C3CEC8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83705" w14:textId="37258AD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45DB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Prezentarea programei analitice și </w:t>
            </w:r>
            <w:proofErr w:type="spellStart"/>
            <w:r w:rsidRPr="00C45689">
              <w:rPr>
                <w:sz w:val="20"/>
                <w:szCs w:val="20"/>
              </w:rPr>
              <w:t>fişa</w:t>
            </w:r>
            <w:proofErr w:type="spellEnd"/>
            <w:r w:rsidRPr="00C45689">
              <w:rPr>
                <w:sz w:val="20"/>
                <w:szCs w:val="20"/>
              </w:rPr>
              <w:t xml:space="preserve"> disciplinei. </w:t>
            </w:r>
            <w:proofErr w:type="spellStart"/>
            <w:r w:rsidRPr="00C45689">
              <w:rPr>
                <w:sz w:val="20"/>
                <w:szCs w:val="20"/>
              </w:rPr>
              <w:t>Evidenţierea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  <w:proofErr w:type="spellStart"/>
            <w:r w:rsidRPr="00C45689">
              <w:rPr>
                <w:sz w:val="20"/>
                <w:szCs w:val="20"/>
              </w:rPr>
              <w:t>modalităţilor</w:t>
            </w:r>
            <w:proofErr w:type="spellEnd"/>
            <w:r w:rsidRPr="00C45689">
              <w:rPr>
                <w:sz w:val="20"/>
                <w:szCs w:val="20"/>
              </w:rPr>
              <w:t xml:space="preserve"> de evaluare </w:t>
            </w:r>
            <w:proofErr w:type="spellStart"/>
            <w:r w:rsidRPr="00C45689">
              <w:rPr>
                <w:sz w:val="20"/>
                <w:szCs w:val="20"/>
              </w:rPr>
              <w:t>şi</w:t>
            </w:r>
            <w:proofErr w:type="spellEnd"/>
            <w:r w:rsidRPr="00C45689">
              <w:rPr>
                <w:sz w:val="20"/>
                <w:szCs w:val="20"/>
              </w:rPr>
              <w:t xml:space="preserve"> a </w:t>
            </w:r>
            <w:proofErr w:type="spellStart"/>
            <w:r w:rsidRPr="00C45689">
              <w:rPr>
                <w:sz w:val="20"/>
                <w:szCs w:val="20"/>
              </w:rPr>
              <w:t>condiţiilor</w:t>
            </w:r>
            <w:proofErr w:type="spellEnd"/>
            <w:r w:rsidRPr="00C45689">
              <w:rPr>
                <w:sz w:val="20"/>
                <w:szCs w:val="20"/>
              </w:rPr>
              <w:t xml:space="preserve"> minime de promovare. </w:t>
            </w:r>
          </w:p>
          <w:p w14:paraId="1CE374BD" w14:textId="038B868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Toxicologie analitică:  concepte, principii.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AD1E7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462385F3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5BD69F01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</w:p>
          <w:p w14:paraId="539EE080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Descrierea</w:t>
            </w:r>
          </w:p>
          <w:p w14:paraId="5D0239CB" w14:textId="11176100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70175C" w14:textId="5E322AE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1A6D7C1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49E0A9" w14:textId="54390C90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C9E64" w14:textId="4724599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Compuși chimici – Relevanță toxicologică. Stabilirea listelor de prioritate pentru compuși cu potențial efect advers asupra sănătății umane.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7BD2F3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4E58A891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A4798EB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31954ADB" w14:textId="67C24BD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57605" w14:textId="7E57607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79EB6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B18BF" w14:textId="791BD0C0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11B46" w14:textId="3B243FC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Evaluarea căilor de expunere umană la contaminanți chimici.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F69AA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700015A2" w14:textId="7C759DA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Descrierea.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AD373" w14:textId="472F3763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93F2B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44209" w14:textId="796CB1B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62C6F" w14:textId="59E9E69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Relații între natura chimică a compușilor toxici de interes și tipul probelor selectate pentru analiză.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0CCB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39FA1405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49DEDCC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14B37E03" w14:textId="05C7C94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5EAD8" w14:textId="5C80A71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64CDCE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5A2A2" w14:textId="4E970D73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CD35A" w14:textId="13EBC46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Prelucrarea specifică a probelor în vederea analizei toxicologice.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B66A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9FE2BCD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48350DDE" w14:textId="66E3191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1E653" w14:textId="3147258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4B980A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9A247" w14:textId="1176BA0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37887" w14:textId="12CA80A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Conținut compus toxic – cale de expunere umană. Relevanță toxicologică în contextul efectelor adverse asupra sănătății umane evidențiate pentru diferite clase de contaminanți.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704D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7140F149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6375673E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</w:p>
          <w:p w14:paraId="4AB39AC0" w14:textId="2A069AC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Descrierea.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48B11" w14:textId="5A6BA0C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8E5287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70264" w14:textId="6E04A54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35C64" w14:textId="43454F3D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Căi de metabolism ale unor contaminanți organici. Relații contaminant-metabolit-expunere umană-toxicitate.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DA4B6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21A4B3E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4695AFCE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</w:p>
          <w:p w14:paraId="77864F5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Descrierea</w:t>
            </w:r>
          </w:p>
          <w:p w14:paraId="710C4CA8" w14:textId="769ED72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5AB2F" w14:textId="46B1F56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1095A5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8A5992" w14:textId="342117D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B229C" w14:textId="749D34C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Sampling</w:t>
            </w:r>
            <w:proofErr w:type="spellEnd"/>
            <w:r w:rsidRPr="00C45689">
              <w:rPr>
                <w:sz w:val="20"/>
                <w:szCs w:val="20"/>
              </w:rPr>
              <w:t>, corelații proprietăți fizice și chimice - metode de separare / determinare. Scheme de analiză.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E98AC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B33EB5B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528B9C14" w14:textId="51D8D8F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F8A33" w14:textId="0708BD4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D8596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C8D94" w14:textId="7551E0B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028ED" w14:textId="6126FF2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Analize toxicologice specifice în contextul unui studiu de </w:t>
            </w:r>
            <w:proofErr w:type="spellStart"/>
            <w:r w:rsidRPr="00C45689">
              <w:rPr>
                <w:sz w:val="20"/>
                <w:szCs w:val="20"/>
              </w:rPr>
              <w:t>biomonitorizare</w:t>
            </w:r>
            <w:proofErr w:type="spellEnd"/>
            <w:r w:rsidRPr="00C45689">
              <w:rPr>
                <w:sz w:val="20"/>
                <w:szCs w:val="20"/>
              </w:rPr>
              <w:t>. Studii de caz.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8902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95F1F7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21FEF4D9" w14:textId="11468594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4001F" w14:textId="597F297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6454870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DD212" w14:textId="4EDE6058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0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0D725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Tehnici utilizate pentru evaluarea cantitativă a consumului de droguri.  </w:t>
            </w:r>
          </w:p>
          <w:p w14:paraId="5FB0EF54" w14:textId="6E6A6C5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Analize chimice cu aplicații în criminalistică.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6667D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6086A71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21DA4DD9" w14:textId="28C43954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E939A0" w14:textId="1E4C663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C3512E" w14:paraId="5574B0A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D92C5" w14:textId="7D6C1767" w:rsidR="002050A0" w:rsidRPr="006C7066" w:rsidRDefault="00A27F1C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2050A0" w:rsidRPr="006C7066">
              <w:rPr>
                <w:bCs/>
                <w:noProof/>
                <w:sz w:val="20"/>
                <w:szCs w:val="20"/>
              </w:rPr>
              <w:t xml:space="preserve">1. Stahr H.M., </w:t>
            </w:r>
            <w:r w:rsidR="002050A0" w:rsidRPr="00C45689">
              <w:rPr>
                <w:bCs/>
                <w:i/>
                <w:iCs/>
                <w:noProof/>
                <w:sz w:val="20"/>
                <w:szCs w:val="20"/>
              </w:rPr>
              <w:t>Analytical methods in toxicology</w:t>
            </w:r>
            <w:r w:rsidR="002050A0" w:rsidRPr="006C7066">
              <w:rPr>
                <w:bCs/>
                <w:noProof/>
                <w:sz w:val="20"/>
                <w:szCs w:val="20"/>
              </w:rPr>
              <w:t>, J. Willey &amp; Sons, 1991.</w:t>
            </w:r>
          </w:p>
          <w:p w14:paraId="51E461B0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6C7066">
              <w:rPr>
                <w:bCs/>
                <w:noProof/>
                <w:sz w:val="20"/>
                <w:szCs w:val="20"/>
              </w:rPr>
              <w:t>2. Flanagan R</w:t>
            </w:r>
            <w:r w:rsidRPr="009108FC">
              <w:rPr>
                <w:bCs/>
                <w:noProof/>
                <w:sz w:val="20"/>
                <w:szCs w:val="20"/>
              </w:rPr>
              <w:t xml:space="preserve">.J., </w:t>
            </w:r>
            <w:r>
              <w:rPr>
                <w:bCs/>
                <w:i/>
                <w:iCs/>
                <w:noProof/>
                <w:sz w:val="20"/>
                <w:szCs w:val="20"/>
              </w:rPr>
              <w:t xml:space="preserve">Fundamentals of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toxicology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 w:rsidRPr="006C7066">
              <w:rPr>
                <w:bCs/>
                <w:noProof/>
                <w:sz w:val="20"/>
                <w:szCs w:val="20"/>
              </w:rPr>
              <w:t>J. Willey &amp; Sons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>
              <w:rPr>
                <w:bCs/>
                <w:noProof/>
                <w:sz w:val="20"/>
                <w:szCs w:val="20"/>
              </w:rPr>
              <w:t>2007</w:t>
            </w:r>
            <w:r w:rsidRPr="009108FC">
              <w:rPr>
                <w:bCs/>
                <w:noProof/>
                <w:sz w:val="20"/>
                <w:szCs w:val="20"/>
              </w:rPr>
              <w:t>.</w:t>
            </w:r>
          </w:p>
          <w:p w14:paraId="418479C6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3. Hodgson E.,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 textboock of modern toxicology</w:t>
            </w:r>
            <w:r w:rsidRPr="009108FC">
              <w:rPr>
                <w:bCs/>
                <w:noProof/>
                <w:sz w:val="20"/>
                <w:szCs w:val="20"/>
              </w:rPr>
              <w:t>, J. Willey &amp; Sons, 2004.</w:t>
            </w:r>
          </w:p>
          <w:p w14:paraId="12407CCB" w14:textId="77777777" w:rsidR="002050A0" w:rsidRPr="0080058D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4.</w:t>
            </w:r>
            <w:r w:rsidRPr="0080058D">
              <w:rPr>
                <w:bCs/>
                <w:noProof/>
                <w:sz w:val="20"/>
                <w:szCs w:val="20"/>
              </w:rPr>
              <w:t xml:space="preserve"> Kaplan L., Pesce A.,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Clinical chemistry: theory, analysis, corelations</w:t>
            </w:r>
            <w:r w:rsidRPr="0080058D">
              <w:rPr>
                <w:bCs/>
                <w:noProof/>
                <w:sz w:val="20"/>
                <w:szCs w:val="20"/>
              </w:rPr>
              <w:t>, Ed. St Louis, Mosley, 2010;</w:t>
            </w:r>
          </w:p>
          <w:p w14:paraId="4F0045BF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5</w:t>
            </w:r>
            <w:r w:rsidRPr="0080058D">
              <w:rPr>
                <w:bCs/>
                <w:noProof/>
                <w:sz w:val="20"/>
                <w:szCs w:val="20"/>
              </w:rPr>
              <w:t xml:space="preserve">. Burtis C.A., Ashwood E.R., Bruns D.E., Sawyer B.G., Tietz.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Fundamentals of clinical chemistry</w:t>
            </w:r>
            <w:r w:rsidRPr="0080058D">
              <w:rPr>
                <w:bCs/>
                <w:noProof/>
                <w:sz w:val="20"/>
                <w:szCs w:val="20"/>
              </w:rPr>
              <w:t>, Saunders Elsevier, 2008</w:t>
            </w:r>
          </w:p>
          <w:p w14:paraId="58808D99" w14:textId="77777777" w:rsidR="002050A0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6</w:t>
            </w:r>
            <w:r w:rsidRPr="009108FC">
              <w:rPr>
                <w:bCs/>
                <w:noProof/>
                <w:sz w:val="20"/>
                <w:szCs w:val="20"/>
              </w:rPr>
              <w:t>. Roman L., Teste analitice rapide, Ed Tehnică, 1994.</w:t>
            </w:r>
          </w:p>
          <w:p w14:paraId="19CC80C4" w14:textId="1B70373C" w:rsidR="00C3512E" w:rsidRDefault="00C3512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3512E" w14:paraId="04527C9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A9BB2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7DA1C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B35A2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7743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2050A0" w14:paraId="038FC77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814939" w14:textId="4FB6152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2F6A7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Protecția muncii. </w:t>
            </w:r>
          </w:p>
          <w:p w14:paraId="59E2F04A" w14:textId="77BD5AF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Analiza </w:t>
            </w:r>
            <w:proofErr w:type="spellStart"/>
            <w:r w:rsidRPr="00C45689">
              <w:rPr>
                <w:sz w:val="20"/>
                <w:szCs w:val="20"/>
              </w:rPr>
              <w:t>compuşilor</w:t>
            </w:r>
            <w:proofErr w:type="spellEnd"/>
            <w:r w:rsidRPr="00C45689">
              <w:rPr>
                <w:sz w:val="20"/>
                <w:szCs w:val="20"/>
              </w:rPr>
              <w:t xml:space="preserve"> toxici </w:t>
            </w:r>
            <w:proofErr w:type="spellStart"/>
            <w:r w:rsidRPr="00C45689">
              <w:rPr>
                <w:sz w:val="20"/>
                <w:szCs w:val="20"/>
              </w:rPr>
              <w:t>şi</w:t>
            </w:r>
            <w:proofErr w:type="spellEnd"/>
            <w:r w:rsidRPr="00C45689">
              <w:rPr>
                <w:sz w:val="20"/>
                <w:szCs w:val="20"/>
              </w:rPr>
              <w:t xml:space="preserve"> principiile asigurării </w:t>
            </w:r>
            <w:proofErr w:type="spellStart"/>
            <w:r w:rsidRPr="00C45689">
              <w:rPr>
                <w:sz w:val="20"/>
                <w:szCs w:val="20"/>
              </w:rPr>
              <w:t>calităţii</w:t>
            </w:r>
            <w:proofErr w:type="spellEnd"/>
            <w:r w:rsidRPr="00C45689">
              <w:rPr>
                <w:sz w:val="20"/>
                <w:szCs w:val="20"/>
              </w:rPr>
              <w:t>: politici generale, proceduri standard, sisteme de măsurare.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2925F7" w14:textId="6E13C98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Discuții interactive,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261D4" w14:textId="7A8728F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6C323C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E45568" w14:textId="4E3D804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D588F" w14:textId="6BDBE22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Analiza cantitativă a unor </w:t>
            </w:r>
            <w:proofErr w:type="spellStart"/>
            <w:r w:rsidRPr="00C45689">
              <w:rPr>
                <w:sz w:val="20"/>
                <w:szCs w:val="20"/>
              </w:rPr>
              <w:t>xenobiotici</w:t>
            </w:r>
            <w:proofErr w:type="spellEnd"/>
            <w:r w:rsidRPr="00C45689">
              <w:rPr>
                <w:sz w:val="20"/>
                <w:szCs w:val="20"/>
              </w:rPr>
              <w:t xml:space="preserve"> din suplimente alimentare pe bază de ulei îmbogățit în acizi grași esențiali (Omega 3, 6, 9).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246D23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Experiment/Demonstrație</w:t>
            </w:r>
          </w:p>
          <w:p w14:paraId="0F7B8F6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Explicaţii</w:t>
            </w:r>
            <w:proofErr w:type="spellEnd"/>
          </w:p>
          <w:p w14:paraId="1238A13C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Exerciții</w:t>
            </w:r>
          </w:p>
          <w:p w14:paraId="442B67BA" w14:textId="218E2D3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371520" w14:textId="0300C55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8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38998C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8187C" w14:textId="4FA0702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005B2" w14:textId="58FA78A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Determinarea unor antibiotice din probe biologice lichide.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F4A220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Experiment/Demonstrație</w:t>
            </w:r>
          </w:p>
          <w:p w14:paraId="12FC633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Explicaţii</w:t>
            </w:r>
            <w:proofErr w:type="spellEnd"/>
          </w:p>
          <w:p w14:paraId="77771AA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Exerciții</w:t>
            </w:r>
          </w:p>
          <w:p w14:paraId="23E73D6E" w14:textId="2F468B8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C6E8A" w14:textId="4063947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6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12987AA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DAB4E6" w14:textId="474415BD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AA237" w14:textId="1A02D27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Determinarea unor antibiotice din probe biologice solide.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030A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Experiment/Demonstrație</w:t>
            </w:r>
          </w:p>
          <w:p w14:paraId="1466B329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Explicaţii</w:t>
            </w:r>
            <w:proofErr w:type="spellEnd"/>
          </w:p>
          <w:p w14:paraId="42F3EC8F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Exerciții</w:t>
            </w:r>
          </w:p>
          <w:p w14:paraId="430DD679" w14:textId="22C6FA6D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9A62B" w14:textId="4681DE38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6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541B173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3C469E" w14:textId="7A40F53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6E105C" w14:textId="39C303A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Prezentare de referate – studiu de literatură. Test final.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68805" w14:textId="285A1DA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Discuții </w:t>
            </w:r>
            <w:proofErr w:type="spellStart"/>
            <w:r w:rsidRPr="00C45689">
              <w:rPr>
                <w:sz w:val="20"/>
                <w:szCs w:val="20"/>
              </w:rPr>
              <w:t>interactve</w:t>
            </w:r>
            <w:proofErr w:type="spellEnd"/>
            <w:r w:rsidRPr="00C45689">
              <w:rPr>
                <w:sz w:val="20"/>
                <w:szCs w:val="20"/>
              </w:rPr>
              <w:t>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CDF30" w14:textId="1B6D612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4 ore</w:t>
            </w:r>
          </w:p>
        </w:tc>
      </w:tr>
      <w:tr w:rsidR="002050A0" w14:paraId="2551669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0702F" w14:textId="77777777" w:rsidR="002050A0" w:rsidRPr="009108FC" w:rsidRDefault="002050A0" w:rsidP="002050A0">
            <w:pPr>
              <w:spacing w:before="120"/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9108FC"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14:paraId="246C86FB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>1. Referate laborator (conținând toate etapele analizelor ce vor fi efectuate pe parcursul lucrărilor de laborator aferente cursului)</w:t>
            </w:r>
          </w:p>
          <w:p w14:paraId="7282FEBB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2. Stahr H.M.,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methods in toxicology</w:t>
            </w:r>
            <w:r w:rsidRPr="009108FC">
              <w:rPr>
                <w:bCs/>
                <w:noProof/>
                <w:sz w:val="20"/>
                <w:szCs w:val="20"/>
              </w:rPr>
              <w:t>, J. Willey &amp; Sons, 1991.</w:t>
            </w:r>
          </w:p>
          <w:p w14:paraId="26734AF0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3. Flanagan R.J., </w:t>
            </w:r>
            <w:r>
              <w:rPr>
                <w:bCs/>
                <w:i/>
                <w:iCs/>
                <w:noProof/>
                <w:sz w:val="20"/>
                <w:szCs w:val="20"/>
              </w:rPr>
              <w:t xml:space="preserve">Fundamentals of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toxicology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 w:rsidRPr="006C7066">
              <w:rPr>
                <w:bCs/>
                <w:noProof/>
                <w:sz w:val="20"/>
                <w:szCs w:val="20"/>
              </w:rPr>
              <w:t>J. Willey &amp; Sons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>
              <w:rPr>
                <w:bCs/>
                <w:noProof/>
                <w:sz w:val="20"/>
                <w:szCs w:val="20"/>
              </w:rPr>
              <w:t>2007</w:t>
            </w:r>
            <w:r w:rsidRPr="009108FC">
              <w:rPr>
                <w:bCs/>
                <w:noProof/>
                <w:sz w:val="20"/>
                <w:szCs w:val="20"/>
              </w:rPr>
              <w:t>.</w:t>
            </w:r>
          </w:p>
          <w:p w14:paraId="300EAE88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4. Hodgson E.,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 textboock of modern toxicology</w:t>
            </w:r>
            <w:r w:rsidRPr="009108FC">
              <w:rPr>
                <w:bCs/>
                <w:noProof/>
                <w:sz w:val="20"/>
                <w:szCs w:val="20"/>
              </w:rPr>
              <w:t>, J. Willey &amp; Sons, 2004.</w:t>
            </w:r>
          </w:p>
          <w:p w14:paraId="3E4A6CFA" w14:textId="77777777" w:rsidR="002050A0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lastRenderedPageBreak/>
              <w:t>5</w:t>
            </w:r>
            <w:r w:rsidRPr="009108FC">
              <w:rPr>
                <w:bCs/>
                <w:noProof/>
                <w:sz w:val="20"/>
                <w:szCs w:val="20"/>
              </w:rPr>
              <w:t>. Dirtu AC, Van den Eede N, Malarvannan G, Ionas AC, Covaci A. Analytical methods for selected emerging contaminants in human matrices</w:t>
            </w:r>
            <w:r>
              <w:rPr>
                <w:bCs/>
                <w:noProof/>
                <w:sz w:val="20"/>
                <w:szCs w:val="20"/>
              </w:rPr>
              <w:t xml:space="preserve">.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and Bioanalytical Chemistry</w:t>
            </w:r>
            <w:r w:rsidRPr="009108FC">
              <w:rPr>
                <w:bCs/>
                <w:noProof/>
                <w:sz w:val="20"/>
                <w:szCs w:val="20"/>
              </w:rPr>
              <w:t>, 404, 2555-2581, 2012.</w:t>
            </w:r>
          </w:p>
          <w:p w14:paraId="2E559C14" w14:textId="484376E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EDA431E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564DA492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C3512E" w14:paraId="13996F9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F6A99" w14:textId="01BA7196" w:rsidR="00C3512E" w:rsidRDefault="002050A0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108FC">
              <w:rPr>
                <w:noProof/>
                <w:sz w:val="20"/>
                <w:szCs w:val="20"/>
              </w:rPr>
              <w:t>Cunoștințele dobândite de studenți în urma parcurgerii cursului și a lurărilor de laborator aferente disciplinei dau posibilitatea studenților să facă față</w:t>
            </w:r>
            <w:r>
              <w:rPr>
                <w:noProof/>
                <w:sz w:val="20"/>
                <w:szCs w:val="20"/>
              </w:rPr>
              <w:t xml:space="preserve"> cerințelor adresate de organis</w:t>
            </w:r>
            <w:r w:rsidRPr="009108FC">
              <w:rPr>
                <w:noProof/>
                <w:sz w:val="20"/>
                <w:szCs w:val="20"/>
              </w:rPr>
              <w:t xml:space="preserve">mele specializate în domeniul analizelor </w:t>
            </w:r>
            <w:r>
              <w:rPr>
                <w:noProof/>
                <w:sz w:val="20"/>
                <w:szCs w:val="20"/>
              </w:rPr>
              <w:t xml:space="preserve">medicale și </w:t>
            </w:r>
            <w:r w:rsidRPr="009108FC">
              <w:rPr>
                <w:noProof/>
                <w:sz w:val="20"/>
                <w:szCs w:val="20"/>
              </w:rPr>
              <w:t>toxicologice</w:t>
            </w:r>
            <w:r>
              <w:rPr>
                <w:noProof/>
                <w:sz w:val="20"/>
                <w:szCs w:val="20"/>
              </w:rPr>
              <w:t>:</w:t>
            </w:r>
            <w:r w:rsidRPr="009108F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Laboratoare de Analize Medicale, </w:t>
            </w:r>
            <w:r w:rsidRPr="009108FC">
              <w:rPr>
                <w:noProof/>
                <w:sz w:val="20"/>
                <w:szCs w:val="20"/>
              </w:rPr>
              <w:t>Institute de Sănătate Publică sau Laboratoare de Analize</w:t>
            </w:r>
            <w:r>
              <w:rPr>
                <w:noProof/>
                <w:sz w:val="20"/>
                <w:szCs w:val="20"/>
              </w:rPr>
              <w:t xml:space="preserve"> Toxicologice și Criminalistică</w:t>
            </w:r>
            <w:r w:rsidRPr="009108FC">
              <w:rPr>
                <w:noProof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27F1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059A415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09F87906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C3512E" w14:paraId="39F33334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781E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4FF91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12D09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7FC34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2050A0" w14:paraId="0A92060B" w14:textId="77777777" w:rsidTr="000B63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02356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588518" w14:textId="43CDAD6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6347D">
              <w:rPr>
                <w:sz w:val="20"/>
                <w:szCs w:val="20"/>
              </w:rPr>
              <w:t xml:space="preserve">Cunoașterea principiilor de selecție pentru compușii chimici cu relevanță și a principiilor de selecție ale metodelor de analiză toxicologică. Utilizarea corectă a terminologiei specifică Toxicologiei Analitice aplicată în determinarea </w:t>
            </w:r>
            <w:r>
              <w:rPr>
                <w:sz w:val="20"/>
                <w:szCs w:val="20"/>
              </w:rPr>
              <w:t>contaminanților organici/medicamente</w:t>
            </w:r>
            <w:r w:rsidRPr="0016347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F69DF1" w14:textId="67C6B70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16178B" w14:textId="20C14EE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A527F2">
              <w:rPr>
                <w:noProof/>
                <w:sz w:val="20"/>
                <w:szCs w:val="20"/>
              </w:rPr>
              <w:t>0%</w:t>
            </w:r>
          </w:p>
        </w:tc>
      </w:tr>
      <w:tr w:rsidR="002050A0" w14:paraId="224A41BE" w14:textId="77777777" w:rsidTr="000B63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E7F9B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722C36" w14:textId="18AD471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02E95">
              <w:rPr>
                <w:noProof/>
                <w:sz w:val="20"/>
                <w:szCs w:val="20"/>
              </w:rPr>
              <w:t>Corectitudinea răspunsurilor – însuşirea şi înţelegerea corectă a problematicii tratate la laborator.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16D15C" w14:textId="170F25F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6347D">
              <w:rPr>
                <w:noProof/>
                <w:sz w:val="20"/>
                <w:szCs w:val="20"/>
              </w:rPr>
              <w:t>Verificarea periodică p</w:t>
            </w:r>
            <w:r>
              <w:rPr>
                <w:noProof/>
                <w:sz w:val="20"/>
                <w:szCs w:val="20"/>
              </w:rPr>
              <w:t>rin teste scrise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A83AC" w14:textId="37797E8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A527F2">
              <w:rPr>
                <w:noProof/>
                <w:sz w:val="20"/>
                <w:szCs w:val="20"/>
              </w:rPr>
              <w:t>0%</w:t>
            </w:r>
          </w:p>
        </w:tc>
      </w:tr>
      <w:tr w:rsidR="00C3512E" w14:paraId="531AC2D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C8CAD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C3512E" w14:paraId="7062CEB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25916" w14:textId="1E68F51D" w:rsidR="002050A0" w:rsidRDefault="002050A0" w:rsidP="002050A0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A527F2">
              <w:rPr>
                <w:noProof/>
                <w:sz w:val="20"/>
                <w:szCs w:val="20"/>
              </w:rPr>
              <w:t>Cunoașterea principiilor aplicate în vederea identificării/cuantificării compuşilor toxici pentru stabilirea relevanței toxi</w:t>
            </w:r>
            <w:r>
              <w:rPr>
                <w:noProof/>
                <w:sz w:val="20"/>
                <w:szCs w:val="20"/>
              </w:rPr>
              <w:t xml:space="preserve">cologice a prezenței lor </w:t>
            </w:r>
            <w:r w:rsidRPr="00A527F2">
              <w:rPr>
                <w:noProof/>
                <w:sz w:val="20"/>
                <w:szCs w:val="20"/>
              </w:rPr>
              <w:t xml:space="preserve">în </w:t>
            </w:r>
            <w:r>
              <w:rPr>
                <w:noProof/>
                <w:sz w:val="20"/>
                <w:szCs w:val="20"/>
              </w:rPr>
              <w:t xml:space="preserve">medii bioogice sau a altor </w:t>
            </w:r>
            <w:r w:rsidRPr="00A527F2">
              <w:rPr>
                <w:noProof/>
                <w:sz w:val="20"/>
                <w:szCs w:val="20"/>
              </w:rPr>
              <w:t>compartime</w:t>
            </w:r>
            <w:r>
              <w:rPr>
                <w:noProof/>
                <w:sz w:val="20"/>
                <w:szCs w:val="20"/>
              </w:rPr>
              <w:t>n</w:t>
            </w:r>
            <w:r w:rsidRPr="00A527F2">
              <w:rPr>
                <w:noProof/>
                <w:sz w:val="20"/>
                <w:szCs w:val="20"/>
              </w:rPr>
              <w:t>te de mediu.</w:t>
            </w:r>
          </w:p>
          <w:p w14:paraId="44B1B468" w14:textId="12E11C71" w:rsidR="00C3512E" w:rsidRPr="002050A0" w:rsidRDefault="002050A0" w:rsidP="002050A0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Executarea</w:t>
            </w:r>
            <w:r w:rsidRPr="00A527F2">
              <w:rPr>
                <w:noProof/>
                <w:sz w:val="20"/>
                <w:szCs w:val="20"/>
              </w:rPr>
              <w:t xml:space="preserve"> corectă a unui experiment de laborator în vederea analizelor toxicologice.</w:t>
            </w:r>
          </w:p>
        </w:tc>
      </w:tr>
    </w:tbl>
    <w:p w14:paraId="19A274D8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907"/>
        <w:gridCol w:w="3907"/>
      </w:tblGrid>
      <w:tr w:rsidR="00C3512E" w14:paraId="52A9F67D" w14:textId="77777777">
        <w:tc>
          <w:tcPr>
            <w:tcW w:w="0" w:type="auto"/>
            <w:hideMark/>
          </w:tcPr>
          <w:p w14:paraId="086934E6" w14:textId="33374B39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050A0" w:rsidRPr="002050A0">
              <w:rPr>
                <w:rFonts w:eastAsia="Times New Roman"/>
                <w:color w:val="000000"/>
              </w:rPr>
              <w:t>27.09.2024</w:t>
            </w:r>
          </w:p>
        </w:tc>
        <w:tc>
          <w:tcPr>
            <w:tcW w:w="0" w:type="auto"/>
            <w:hideMark/>
          </w:tcPr>
          <w:p w14:paraId="471F1865" w14:textId="293A8C03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050A0" w:rsidRPr="00222AE8">
              <w:rPr>
                <w:rFonts w:eastAsia="Times New Roman"/>
                <w:color w:val="000000"/>
              </w:rPr>
              <w:t>Conf. Univ. Dr. Alin C. DÎRȚU</w:t>
            </w:r>
          </w:p>
        </w:tc>
        <w:tc>
          <w:tcPr>
            <w:tcW w:w="0" w:type="auto"/>
            <w:hideMark/>
          </w:tcPr>
          <w:p w14:paraId="0EF7C76A" w14:textId="3CF66458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2050A0" w:rsidRPr="00222AE8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5D61F01A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C3512E" w14:paraId="225BD356" w14:textId="77777777">
        <w:tc>
          <w:tcPr>
            <w:tcW w:w="0" w:type="auto"/>
            <w:hideMark/>
          </w:tcPr>
          <w:p w14:paraId="1144F55B" w14:textId="77777777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D856AB8" w14:textId="55BBFBF7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2050A0">
              <w:rPr>
                <w:rFonts w:eastAsia="Times New Roman"/>
                <w:color w:val="000000"/>
              </w:rPr>
              <w:t xml:space="preserve">Prof. univ. dr. </w:t>
            </w:r>
            <w:proofErr w:type="spellStart"/>
            <w:r w:rsidRPr="002050A0">
              <w:rPr>
                <w:rFonts w:eastAsia="Times New Roman"/>
                <w:color w:val="000000"/>
              </w:rPr>
              <w:t>habil</w:t>
            </w:r>
            <w:proofErr w:type="spellEnd"/>
            <w:r w:rsidRPr="002050A0">
              <w:rPr>
                <w:rFonts w:eastAsia="Times New Roman"/>
                <w:color w:val="000000"/>
              </w:rPr>
              <w:t>. Mihail-Lucian B</w:t>
            </w:r>
            <w:r w:rsidR="002050A0">
              <w:rPr>
                <w:rFonts w:eastAsia="Times New Roman"/>
                <w:color w:val="000000"/>
              </w:rPr>
              <w:t>Î</w:t>
            </w:r>
            <w:r w:rsidRPr="002050A0">
              <w:rPr>
                <w:rFonts w:eastAsia="Times New Roman"/>
                <w:color w:val="000000"/>
              </w:rPr>
              <w:t>RS</w:t>
            </w:r>
            <w:r w:rsidR="002050A0">
              <w:rPr>
                <w:rFonts w:eastAsia="Times New Roman"/>
                <w:color w:val="000000"/>
              </w:rPr>
              <w:t>Ă</w:t>
            </w:r>
          </w:p>
        </w:tc>
      </w:tr>
    </w:tbl>
    <w:p w14:paraId="37C75073" w14:textId="77777777" w:rsidR="00A27F1C" w:rsidRDefault="00A27F1C">
      <w:pPr>
        <w:rPr>
          <w:rFonts w:eastAsia="Times New Roman"/>
        </w:rPr>
      </w:pPr>
    </w:p>
    <w:sectPr w:rsidR="00A27F1C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81ED3"/>
    <w:multiLevelType w:val="multilevel"/>
    <w:tmpl w:val="782E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D7F68"/>
    <w:multiLevelType w:val="multilevel"/>
    <w:tmpl w:val="28C2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532272">
    <w:abstractNumId w:val="0"/>
  </w:num>
  <w:num w:numId="2" w16cid:durableId="149783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AC"/>
    <w:rsid w:val="002050A0"/>
    <w:rsid w:val="002854AC"/>
    <w:rsid w:val="002D37DD"/>
    <w:rsid w:val="00403276"/>
    <w:rsid w:val="00513023"/>
    <w:rsid w:val="00A27F1C"/>
    <w:rsid w:val="00A50BC9"/>
    <w:rsid w:val="00C3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7EC0A"/>
  <w15:chartTrackingRefBased/>
  <w15:docId w15:val="{BD092849-1EAB-4C80-AE3E-2813C22C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050A0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AC Dirtu</cp:lastModifiedBy>
  <cp:revision>2</cp:revision>
  <dcterms:created xsi:type="dcterms:W3CDTF">2024-10-07T08:44:00Z</dcterms:created>
  <dcterms:modified xsi:type="dcterms:W3CDTF">2024-10-07T08:44:00Z</dcterms:modified>
</cp:coreProperties>
</file>