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  <w:sz w:val="22"/>
          <w:szCs w:val="22"/>
        </w:rPr>
      </w:pPr>
      <w:r w:rsidDel="00000000" w:rsidR="00000000" w:rsidRPr="00000000">
        <w:rPr>
          <w:sz w:val="2"/>
          <w:szCs w:val="2"/>
          <w:highlight w:val="black"/>
        </w:rPr>
        <w:drawing>
          <wp:inline distB="0" distT="0" distL="0" distR="0">
            <wp:extent cx="6381750" cy="1066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  <w:br w:type="textWrapping"/>
        <w:t xml:space="preserve"> 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66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6699"/>
          <w:sz w:val="22"/>
          <w:szCs w:val="22"/>
          <w:u w:val="none"/>
          <w:shd w:fill="auto" w:val="clear"/>
          <w:vertAlign w:val="baseline"/>
          <w:rtl w:val="0"/>
        </w:rPr>
        <w:t xml:space="preserve">FIŞA DISCIPLINEI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Date despre program</w:t>
      </w:r>
    </w:p>
    <w:tbl>
      <w:tblPr>
        <w:tblStyle w:val="Table1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016"/>
        <w:gridCol w:w="6025"/>
        <w:tblGridChange w:id="0">
          <w:tblGrid>
            <w:gridCol w:w="4016"/>
            <w:gridCol w:w="6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Institu ţia de învăţământ superior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Universitatea "Alexandru Ioan Cuza" din Iaşi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Facultatea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Facultatea de Chimie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1.3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Departamentul 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DEPARTAMENTUL DE CHIMIE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1.4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Domeniul de studii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Chimie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Ciclul de studii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Licență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1.6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Programul de studii / Calificarea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Chimie medicală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Date despre disciplină</w:t>
      </w:r>
    </w:p>
    <w:tbl>
      <w:tblPr>
        <w:tblStyle w:val="Table2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  <w:tblGridChange w:id="0">
          <w:tblGrid>
            <w:gridCol w:w="1808"/>
            <w:gridCol w:w="502"/>
            <w:gridCol w:w="1807"/>
            <w:gridCol w:w="502"/>
            <w:gridCol w:w="2209"/>
            <w:gridCol w:w="502"/>
            <w:gridCol w:w="2209"/>
            <w:gridCol w:w="50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2.1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Denumirea disciplinei</w:t>
            </w:r>
          </w:p>
        </w:tc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Cinetica chimică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Titularul activităţilor de curs</w:t>
            </w:r>
          </w:p>
        </w:tc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LECT. DR. MIHAI DUMITRAS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2.3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Titularul activităţilor de seminar</w:t>
            </w:r>
          </w:p>
        </w:tc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LECT. DR. MIHAI DUMITRAS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2.4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An de studiu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Semestrul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III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2.6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Tip de evaluare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2.7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Regimul discipinei</w:t>
            </w:r>
            <w:r w:rsidDel="00000000" w:rsidR="00000000" w:rsidRPr="00000000">
              <w:rPr>
                <w:color w:val="000000"/>
                <w:sz w:val="20"/>
                <w:szCs w:val="20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Ob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OB – Obligatoriu / OP – Opţional / F – Facultativ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Timpul total estimat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(ore pe semestru şi activităţi didactice)</w:t>
      </w:r>
      <w:r w:rsidDel="00000000" w:rsidR="00000000" w:rsidRPr="00000000">
        <w:rPr>
          <w:rtl w:val="0"/>
        </w:rPr>
      </w:r>
    </w:p>
    <w:tbl>
      <w:tblPr>
        <w:tblStyle w:val="Table3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013"/>
        <w:gridCol w:w="1004"/>
        <w:gridCol w:w="2008"/>
        <w:gridCol w:w="1004"/>
        <w:gridCol w:w="2008"/>
        <w:gridCol w:w="1004"/>
        <w:tblGridChange w:id="0">
          <w:tblGrid>
            <w:gridCol w:w="3013"/>
            <w:gridCol w:w="1004"/>
            <w:gridCol w:w="2008"/>
            <w:gridCol w:w="1004"/>
            <w:gridCol w:w="2008"/>
            <w:gridCol w:w="10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3.1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Număr de ore pe săptămână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curs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3.3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seminar/laborator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3.4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Total ore din planul de învăţământ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84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curs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3.6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seminar/laborator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42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Distribuţia fondului de timp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Studiu după manual, suport de curs, bibliografie şi altele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Documentare suplimentară în bibliotecă, pe platformele electronice de specialitate şi pe teren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Pregătire seminarii/laboratoare, teme, referate, portofolii şi eseuri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Tutoriat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Examinări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Alte activităţi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000000" w:space="0" w:sz="0" w:val="nil"/>
              <w:bottom w:color="999999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999999" w:space="0" w:sz="6" w:val="single"/>
              <w:left w:color="000000" w:space="0" w:sz="0" w:val="nil"/>
              <w:bottom w:color="999999" w:space="0" w:sz="6" w:val="single"/>
              <w:right w:color="000000" w:space="0" w:sz="0" w:val="nil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3.7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Total ore studiu individual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66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3.8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Total ore pe semestru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3.9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Numărul de credite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83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Precondiţii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(dacă este cazul)</w:t>
      </w:r>
      <w:r w:rsidDel="00000000" w:rsidR="00000000" w:rsidRPr="00000000">
        <w:rPr>
          <w:rtl w:val="0"/>
        </w:rPr>
      </w:r>
    </w:p>
    <w:tbl>
      <w:tblPr>
        <w:tblStyle w:val="Table4"/>
        <w:tblW w:w="1606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016"/>
        <w:gridCol w:w="6025"/>
        <w:gridCol w:w="6025"/>
        <w:tblGridChange w:id="0">
          <w:tblGrid>
            <w:gridCol w:w="4016"/>
            <w:gridCol w:w="6025"/>
            <w:gridCol w:w="6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4.1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 curriculum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Chimie generală; Termodinamica chimica; Matematică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4.2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 competenţe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Abordarea interdisciplinară a unor teme din domeniul chimiei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  <w:br w:type="textWrapping"/>
              <w:t xml:space="preserve"> </w:t>
            </w:r>
          </w:p>
        </w:tc>
      </w:tr>
    </w:tbl>
    <w:p w:rsidR="00000000" w:rsidDel="00000000" w:rsidP="00000000" w:rsidRDefault="00000000" w:rsidRPr="00000000" w14:paraId="0000008B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Condiţii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(dacă este cazul)</w:t>
      </w:r>
      <w:r w:rsidDel="00000000" w:rsidR="00000000" w:rsidRPr="00000000">
        <w:rPr>
          <w:rtl w:val="0"/>
        </w:rPr>
      </w:r>
    </w:p>
    <w:tbl>
      <w:tblPr>
        <w:tblStyle w:val="Table5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016"/>
        <w:gridCol w:w="6025"/>
        <w:tblGridChange w:id="0">
          <w:tblGrid>
            <w:gridCol w:w="4016"/>
            <w:gridCol w:w="6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5.1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 desfăşurare a cursului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5.2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 desfăşurare a seminarului/ laboratorului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Prezenţa este obligatorie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 </w:t>
            </w:r>
          </w:p>
        </w:tc>
      </w:tr>
    </w:tbl>
    <w:p w:rsidR="00000000" w:rsidDel="00000000" w:rsidP="00000000" w:rsidRDefault="00000000" w:rsidRPr="00000000" w14:paraId="00000091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Competenţe specifice acumulate</w:t>
      </w:r>
    </w:p>
    <w:tbl>
      <w:tblPr>
        <w:tblStyle w:val="Table6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125"/>
        <w:gridCol w:w="8916"/>
        <w:tblGridChange w:id="0">
          <w:tblGrid>
            <w:gridCol w:w="1125"/>
            <w:gridCol w:w="89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Competenţe profesionale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CP1.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Operarea cu noţiuni de structură şi reactivitate a compuşilor chimici, biochimici şi farmaceutici.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CP2.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Operarea cu noţiuni privind relaţia de legătură între structura şi activitatea chimică şi biologică a compuşilor chimici, biochimici şi farmaceutici.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CP3.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Determinarea compoziţiei, structurii şi proprietăţilor fizico-chimice a unor compuşi chimici, biochimici şi farmaceutici.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CP4.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CP5.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Efectuarea în manieră autonomă a analizelor şi preparatelor biologice, biochimice şi microbiologice şi interpretarea rezultatelor.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CP6.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Abordarea interdisciplinară a unor teme din domeniile chimiei şi biochimiei.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CP7.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Urmărirea, adaptarea şi controlul proceselor chimice şi fizico-chimice în laboratoarele de analize clinice şi medicale.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CP8.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Competenţe transversale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CT1.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Realizarea sarcinilor profesionale în mod eficient şi responsabil cu respectarea legislaţiei şi deontologiei specifice domeniului sub asistenţă calificată.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CT2.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Realizarea unor activităţi în echipă multidisciplinară utilizând abilităţi de comunicare interpersonală pentru îndeplinirea obiectivelor propuse.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CT3.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000000" w:rsidDel="00000000" w:rsidP="00000000" w:rsidRDefault="00000000" w:rsidRPr="00000000" w14:paraId="00000097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Obiectivele disciplinei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(din grila competenţelor specifice acumulate)</w:t>
      </w:r>
      <w:r w:rsidDel="00000000" w:rsidR="00000000" w:rsidRPr="00000000">
        <w:rPr>
          <w:rtl w:val="0"/>
        </w:rPr>
      </w:r>
    </w:p>
    <w:tbl>
      <w:tblPr>
        <w:tblStyle w:val="Table7"/>
        <w:tblW w:w="1904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036"/>
        <w:gridCol w:w="9005"/>
        <w:gridCol w:w="9005"/>
        <w:tblGridChange w:id="0">
          <w:tblGrid>
            <w:gridCol w:w="1036"/>
            <w:gridCol w:w="9005"/>
            <w:gridCol w:w="9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7.1 Obiectivul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Prezentarea elementelor fundamentale ale cineticii chimice - cinetica formală (deducerea ecuaţiilor cinetice în cazul reacţiilor simple sau complexe), teoriile cineticii chimice şi studiul sistemelor reactante complexe (particularităţi ale reacţiilor în soluţie şi a  reacţiilor catalitice). Lucrările practice şi seminariile familiarizează studenţii cu principalele metode utilizate în studiul cinetic al sistemelor chimice.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7.2 Obiectivele specifice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finalizarea cu succes a acestei discipline, studenţii vor fi capabili să: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Descrie şi analizeze din punct de vedere cinetic reacţiile chimice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Explice mecanismele reacţionale uzuale din cinetica chimică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Prelucreze datele experimentale din cinetica chimică şi să integreze ecuaţiile cinetice corespunzătoare diverselor mecanisme reacţionale</w:t>
            </w:r>
          </w:p>
          <w:p w:rsidR="00000000" w:rsidDel="00000000" w:rsidP="00000000" w:rsidRDefault="00000000" w:rsidRPr="00000000" w14:paraId="000000A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Conţinut</w:t>
      </w:r>
    </w:p>
    <w:tbl>
      <w:tblPr>
        <w:tblStyle w:val="Table8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004"/>
        <w:gridCol w:w="3615"/>
        <w:gridCol w:w="2711"/>
        <w:gridCol w:w="2711"/>
        <w:tblGridChange w:id="0">
          <w:tblGrid>
            <w:gridCol w:w="1004"/>
            <w:gridCol w:w="3615"/>
            <w:gridCol w:w="2711"/>
            <w:gridCol w:w="2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8.1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Metode de predare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Observaţii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(ore şi referinţe bibliografice)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Noţiuni fundamentale ale cineticii chimice. Transformari chimice elementare si complexe. Mecanism de reactie.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Viteza de reacţie. Parametrii cinetici fundamentali. Influenta compozitiei amestecului de reactie asupra vitezei de reactie. Influenta temperaturii.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Cinetica transformărilor chimice simple. Ecuatii cinetice. Curbe cinetice.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B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Metode de evaluare a parametrilor cinetici fundamentali din date experimentale.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B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Metode experimentale în cinetica chimică.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BB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Reacţii complexe. Reactii paralele. Reactii opuse. Reactii successive. Reactii mixte.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B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Cinetica reacţiilor catalitice.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Cinetica reactiilor enzimatice. Mecanismul Michaelis-Menten. Inhibitia enzimatica.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Cinetica reactiilor in lant.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B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Elemente de cinetica neizoterma.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Teorii ale vitezelor de reacţie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D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Bibliografie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 </w:t>
            </w:r>
          </w:p>
          <w:p w:rsidR="00000000" w:rsidDel="00000000" w:rsidP="00000000" w:rsidRDefault="00000000" w:rsidRPr="00000000" w14:paraId="000000D6">
            <w:pPr>
              <w:spacing w:line="360" w:lineRule="auto"/>
              <w:ind w:left="57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Referinţe principale:</w:t>
            </w:r>
          </w:p>
          <w:p w:rsidR="00000000" w:rsidDel="00000000" w:rsidP="00000000" w:rsidRDefault="00000000" w:rsidRPr="00000000" w14:paraId="000000D7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A. Bîrzu, M. Dumitraş, Cinetică chimică. Aspecte fundamentale, MatrixROM, Bucureşti, 2008.</w:t>
            </w:r>
          </w:p>
          <w:p w:rsidR="00000000" w:rsidDel="00000000" w:rsidP="00000000" w:rsidRDefault="00000000" w:rsidRPr="00000000" w14:paraId="000000D8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M. Dumitraş, A. Bîrzu, Cinetică chimică. Capitole speciale, MatrixROM, Bucureşti, 2010.</w:t>
            </w:r>
          </w:p>
          <w:p w:rsidR="00000000" w:rsidDel="00000000" w:rsidP="00000000" w:rsidRDefault="00000000" w:rsidRPr="00000000" w14:paraId="000000D9">
            <w:pPr>
              <w:spacing w:line="360" w:lineRule="auto"/>
              <w:ind w:left="57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Referinţe suplimentare:</w:t>
            </w:r>
          </w:p>
          <w:p w:rsidR="00000000" w:rsidDel="00000000" w:rsidP="00000000" w:rsidRDefault="00000000" w:rsidRPr="00000000" w14:paraId="000000DA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R. I. Masel, Chemical Kinetics and Catalysis, Wiley, 2001.</w:t>
            </w:r>
          </w:p>
          <w:p w:rsidR="00000000" w:rsidDel="00000000" w:rsidP="00000000" w:rsidRDefault="00000000" w:rsidRPr="00000000" w14:paraId="000000DB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J. Steinfeld, J. Francisco, W. Hase, Chemical Kinetics and Dynamics, Prentice Hall, 1989.</w:t>
            </w:r>
          </w:p>
          <w:p w:rsidR="00000000" w:rsidDel="00000000" w:rsidP="00000000" w:rsidRDefault="00000000" w:rsidRPr="00000000" w14:paraId="000000DC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K. A. Connors, Chemical Kinetics, VCH, 1990.</w:t>
            </w:r>
          </w:p>
          <w:p w:rsidR="00000000" w:rsidDel="00000000" w:rsidP="00000000" w:rsidRDefault="00000000" w:rsidRPr="00000000" w14:paraId="000000DD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K. J. Laidler, Chemical Kinetics, Harper&amp;Row, 1987.</w:t>
            </w:r>
          </w:p>
          <w:p w:rsidR="00000000" w:rsidDel="00000000" w:rsidP="00000000" w:rsidRDefault="00000000" w:rsidRPr="00000000" w14:paraId="000000DE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M. R. Wright, An introduction to chemical kinetics, Wiley, 2004.</w:t>
            </w:r>
          </w:p>
          <w:p w:rsidR="00000000" w:rsidDel="00000000" w:rsidP="00000000" w:rsidRDefault="00000000" w:rsidRPr="00000000" w14:paraId="000000DF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D. V. Roberts, Enzyme kinetics, Cambridge University Press 1977.</w:t>
            </w:r>
          </w:p>
          <w:p w:rsidR="00000000" w:rsidDel="00000000" w:rsidP="00000000" w:rsidRDefault="00000000" w:rsidRPr="00000000" w14:paraId="000000E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 R. Copeland, Enzymes, Wiley, 2000.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 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8.2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Seminar / Laborator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Metode de predare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Observaţii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(ore şi referinţe bibliografice)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L1. Descompunerea catalitică a apei oxigenate în prezenţa FeCl</w:t>
            </w:r>
            <w:r w:rsidDel="00000000" w:rsidR="00000000" w:rsidRPr="00000000">
              <w:rPr>
                <w:sz w:val="20"/>
                <w:szCs w:val="20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/HCl.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Problematizarea, Experimentul, 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L2. Studiul cinetic al unei reacţii de ordin zero.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Experimentul, Observatia,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L3. Studiul cinetic al reacţiei de saponificare a acetatului de etil în mediu bazic.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Problematizarea, Exercitiul, 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L4. Cataliza omogenă. Studiul cinetic al inversiei zaharozei.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 Experimentul, Demonstratia, Exercitiul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L5. Descompunerea catalitică a apei oxigenate în prezenţa MnO</w:t>
            </w:r>
            <w:r w:rsidDel="00000000" w:rsidR="00000000" w:rsidRPr="00000000">
              <w:rPr>
                <w:sz w:val="20"/>
                <w:szCs w:val="20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Problematizarea, Experimentul, 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S1. Viteza de reacţie. Parametri cinetici fundamentali. Ecuaţii cinetice diferenţiale şi integrale.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Problematizarea, Experimentul, 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S2. Reacţii simple în fază gazoasă. Ecuaţia lui Arrhenius.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Experimentul, Observatia,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S3. Sisteme deschise. Reacţii complexe.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Problematizarea, Exercitiul, 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S4. Recapitulare.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 Experimentul, Demonstratia, Exercitiul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Bibliografie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 </w:t>
            </w:r>
          </w:p>
          <w:p w:rsidR="00000000" w:rsidDel="00000000" w:rsidP="00000000" w:rsidRDefault="00000000" w:rsidRPr="00000000" w14:paraId="0000010D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V. Isac, A. Onu, C. Tudoreanu, Gh. Nemţoi, Chimie fizică. Lucrări practice, Editura Ştiinţa, Chişinău, 1995</w:t>
            </w:r>
          </w:p>
          <w:p w:rsidR="00000000" w:rsidDel="00000000" w:rsidP="00000000" w:rsidRDefault="00000000" w:rsidRPr="00000000" w14:paraId="0000010E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P. Atkins, J. dePaula, Physical Chemistry, 9th ed., W. H. Freeman, NY, 2010.</w:t>
            </w:r>
          </w:p>
          <w:p w:rsidR="00000000" w:rsidDel="00000000" w:rsidP="00000000" w:rsidRDefault="00000000" w:rsidRPr="00000000" w14:paraId="0000010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C. A. Trapp, M. P. Cady, C. Giunta, Instructor’s solution manual to accompany Atkins’ Physical Chemistry, 9th ed., W. H. Freeman, NY, 2010.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br w:type="textWrapping"/>
              <w:t xml:space="preserve"> </w:t>
            </w:r>
          </w:p>
        </w:tc>
      </w:tr>
    </w:tbl>
    <w:p w:rsidR="00000000" w:rsidDel="00000000" w:rsidP="00000000" w:rsidRDefault="00000000" w:rsidRPr="00000000" w14:paraId="00000113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Coroborarea conţinutului disciplinei cu aşteptările reprezentanţilor comunităţii, asociaţiilor profesionale şi angajatorilor reprezentativi din domeniul aferent programului</w:t>
      </w:r>
    </w:p>
    <w:tbl>
      <w:tblPr>
        <w:tblStyle w:val="Table9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0041"/>
        <w:tblGridChange w:id="0">
          <w:tblGrid>
            <w:gridCol w:w="100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Disciplina “Cinetică chimică” oferă studenţilor cunoştinţe şi deprinderi esenţiale în domeniul din care face parte.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 </w:t>
            </w:r>
          </w:p>
        </w:tc>
      </w:tr>
    </w:tbl>
    <w:p w:rsidR="00000000" w:rsidDel="00000000" w:rsidP="00000000" w:rsidRDefault="00000000" w:rsidRPr="00000000" w14:paraId="00000116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Evaluare</w:t>
      </w:r>
    </w:p>
    <w:tbl>
      <w:tblPr>
        <w:tblStyle w:val="Table10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511"/>
        <w:gridCol w:w="2510"/>
        <w:gridCol w:w="2510"/>
        <w:gridCol w:w="2510"/>
        <w:tblGridChange w:id="0">
          <w:tblGrid>
            <w:gridCol w:w="2511"/>
            <w:gridCol w:w="2510"/>
            <w:gridCol w:w="2510"/>
            <w:gridCol w:w="2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Tip activitate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10.1 Criterii de evaluare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10.2 Metode de evaluare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10.3 Pondere în nota finală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10.4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Curs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Înţelegerea şi aplicarea corectă a noţiunilor tratate la curs.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Examen scris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10.5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Seminar / Laborator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Înţelegerea  noţiunilor tratate la laborator. Îndeplinierea obiectivelor practice. Rezolvarea corectă a exerciţiilor si problemelor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Evaluare continua a activitatii de la laborator/ evaluare scrisa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10.6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Standard minim de performanţă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Cunoaşterea la nivel de bază a principalelor concepte şi metode utilizate în domeniul chimiei fizice precum şi capacitatea de a efectua lucrări de laborator, de a interpreta datele experimentale şi de a rezolva probleme. Pentru promovare nota minimă la fiecare evaluare este 5.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 </w:t>
            </w:r>
          </w:p>
        </w:tc>
      </w:tr>
    </w:tbl>
    <w:p w:rsidR="00000000" w:rsidDel="00000000" w:rsidP="00000000" w:rsidRDefault="00000000" w:rsidRPr="00000000" w14:paraId="0000012C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57.0" w:type="dxa"/>
        <w:jc w:val="left"/>
        <w:tblLayout w:type="fixed"/>
        <w:tblLook w:val="0400"/>
      </w:tblPr>
      <w:tblGrid>
        <w:gridCol w:w="2567"/>
        <w:gridCol w:w="3745"/>
        <w:gridCol w:w="3745"/>
        <w:tblGridChange w:id="0">
          <w:tblGrid>
            <w:gridCol w:w="2567"/>
            <w:gridCol w:w="3745"/>
            <w:gridCol w:w="374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Data completării,</w:t>
              <w:br w:type="textWrapping"/>
              <w:t xml:space="preserve"> 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E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Titular de curs,</w:t>
              <w:br w:type="textWrapping"/>
              <w:t xml:space="preserve"> 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Titular de seminar,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3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rtl w:val="0"/>
              </w:rPr>
              <w:t xml:space="preserve">09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.202</w:t>
            </w: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Lect. Dr. Mihai Dumitras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3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Lect. Dr. Mihai Dumitras</w:t>
            </w:r>
          </w:p>
        </w:tc>
      </w:tr>
    </w:tbl>
    <w:p w:rsidR="00000000" w:rsidDel="00000000" w:rsidP="00000000" w:rsidRDefault="00000000" w:rsidRPr="00000000" w14:paraId="00000133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57.0" w:type="dxa"/>
        <w:jc w:val="left"/>
        <w:tblLayout w:type="fixed"/>
        <w:tblLook w:val="0400"/>
      </w:tblPr>
      <w:tblGrid>
        <w:gridCol w:w="4095"/>
        <w:gridCol w:w="5962"/>
        <w:tblGridChange w:id="0">
          <w:tblGrid>
            <w:gridCol w:w="4095"/>
            <w:gridCol w:w="5962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34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Data avizării în departament,</w:t>
              <w:br w:type="textWrapping"/>
              <w:t xml:space="preserve"> 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35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Director de departament,</w:t>
              <w:br w:type="textWrapping"/>
              <w:t xml:space="preserve">Prof. univ. dr. habil. Mihail-Lucian BÎRSĂ</w:t>
            </w:r>
          </w:p>
        </w:tc>
      </w:tr>
    </w:tbl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720" w:top="720" w:left="1276" w:right="567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msonormal0" w:customStyle="1">
    <w:name w:val="msonormal"/>
    <w:basedOn w:val="Normal"/>
    <w:uiPriority w:val="99"/>
    <w:semiHidden w:val="1"/>
    <w:pPr>
      <w:spacing w:after="15" w:before="15"/>
    </w:pPr>
  </w:style>
  <w:style w:type="paragraph" w:styleId="NormalWeb">
    <w:name w:val="Normal (Web)"/>
    <w:basedOn w:val="Normal"/>
    <w:uiPriority w:val="99"/>
    <w:semiHidden w:val="1"/>
    <w:unhideWhenUsed w:val="1"/>
    <w:pPr>
      <w:spacing w:after="15" w:before="15"/>
    </w:pPr>
  </w:style>
  <w:style w:type="paragraph" w:styleId="antetpagina" w:customStyle="1">
    <w:name w:val="antet_pagina"/>
    <w:basedOn w:val="Normal"/>
    <w:uiPriority w:val="99"/>
    <w:semiHidden w:val="1"/>
    <w:pPr>
      <w:spacing w:after="15" w:before="15"/>
    </w:pPr>
    <w:rPr>
      <w:sz w:val="22"/>
      <w:szCs w:val="22"/>
    </w:rPr>
  </w:style>
  <w:style w:type="paragraph" w:styleId="titlu" w:customStyle="1">
    <w:name w:val="titlu"/>
    <w:basedOn w:val="Normal"/>
    <w:uiPriority w:val="99"/>
    <w:semiHidden w:val="1"/>
    <w:pPr>
      <w:spacing w:after="15" w:before="15"/>
    </w:pPr>
    <w:rPr>
      <w:b w:val="1"/>
      <w:bCs w:val="1"/>
      <w:sz w:val="22"/>
      <w:szCs w:val="22"/>
    </w:rPr>
  </w:style>
  <w:style w:type="paragraph" w:styleId="titluplan" w:customStyle="1">
    <w:name w:val="titlu_plan"/>
    <w:basedOn w:val="Normal"/>
    <w:uiPriority w:val="99"/>
    <w:semiHidden w:val="1"/>
    <w:pPr>
      <w:jc w:val="center"/>
    </w:pPr>
    <w:rPr>
      <w:b w:val="1"/>
      <w:bCs w:val="1"/>
      <w:sz w:val="26"/>
      <w:szCs w:val="26"/>
    </w:rPr>
  </w:style>
  <w:style w:type="paragraph" w:styleId="titludiscplan" w:customStyle="1">
    <w:name w:val="titlu_disc_plan"/>
    <w:basedOn w:val="Normal"/>
    <w:uiPriority w:val="99"/>
    <w:semiHidden w:val="1"/>
    <w:pPr>
      <w:spacing w:after="200" w:before="400"/>
      <w:jc w:val="center"/>
    </w:pPr>
    <w:rPr>
      <w:b w:val="1"/>
      <w:bCs w:val="1"/>
      <w:color w:val="006699"/>
      <w:sz w:val="22"/>
      <w:szCs w:val="22"/>
    </w:rPr>
  </w:style>
  <w:style w:type="paragraph" w:styleId="subtitlu" w:customStyle="1">
    <w:name w:val="subtitlu"/>
    <w:basedOn w:val="Normal"/>
    <w:uiPriority w:val="99"/>
    <w:semiHidden w:val="1"/>
    <w:pPr>
      <w:spacing w:before="400"/>
      <w:ind w:left="300"/>
    </w:pPr>
    <w:rPr>
      <w:b w:val="1"/>
      <w:bCs w:val="1"/>
    </w:rPr>
  </w:style>
  <w:style w:type="paragraph" w:styleId="continut" w:customStyle="1">
    <w:name w:val="continut"/>
    <w:basedOn w:val="Normal"/>
    <w:uiPriority w:val="99"/>
    <w:semiHidden w:val="1"/>
    <w:pPr>
      <w:ind w:left="100"/>
      <w:jc w:val="both"/>
    </w:pPr>
    <w:rPr>
      <w:sz w:val="22"/>
      <w:szCs w:val="22"/>
    </w:rPr>
  </w:style>
  <w:style w:type="paragraph" w:styleId="ColorfulList-Accent11" w:customStyle="1">
    <w:name w:val="Colorful List - Accent 11"/>
    <w:basedOn w:val="Normal"/>
    <w:uiPriority w:val="34"/>
    <w:semiHidden w:val="1"/>
    <w:qFormat w:val="1"/>
    <w:pPr>
      <w:ind w:left="720"/>
      <w:contextualSpacing w:val="1"/>
    </w:pPr>
    <w:rPr>
      <w:rFonts w:ascii="Cambria" w:eastAsia="MS Mincho" w:hAnsi="Cambria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r2oZKYSPlOqcEqioNPuWlDpZYg==">CgMxLjA4AHIhMV9KeGl6cC01TlZhdjJIbzVxdHNsMzZmRVg3amdMSV9D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2024-10-03T06:57:00Z</dcterms:created>
  <dc:creator>cloudconvert_3</dc:creator>
</cp:coreProperties>
</file>