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1180"/>
      </w:tblGrid>
      <w:tr w:rsidR="00000000">
        <w:trPr>
          <w:tblCellSpacing w:w="0" w:type="dxa"/>
        </w:trPr>
        <w:tc>
          <w:tcPr>
            <w:tcW w:w="0" w:type="auto"/>
            <w:vAlign w:val="center"/>
            <w:hideMark/>
          </w:tcPr>
          <w:p w:rsidR="00000000" w:rsidRDefault="00B5032F">
            <w:pPr>
              <w:rPr>
                <w:sz w:val="20"/>
                <w:szCs w:val="20"/>
              </w:rPr>
            </w:pPr>
            <w:bookmarkStart w:id="0" w:name="_GoBack"/>
            <w:bookmarkEnd w:id="0"/>
            <w:r>
              <w:rPr>
                <w:rFonts w:asciiTheme="minorHAnsi" w:hAnsiTheme="minorHAnsi" w:cstheme="minorBidi"/>
                <w:noProof/>
                <w:sz w:val="22"/>
                <w:szCs w:val="22"/>
              </w:rPr>
              <w:drawing>
                <wp:inline distT="0" distB="0" distL="0" distR="0">
                  <wp:extent cx="4876800" cy="571500"/>
                  <wp:effectExtent l="0" t="0" r="0" b="0"/>
                  <wp:docPr id="1" name="Picture 1" descr="C:\Users\user\AppData\Local\Microsoft\Windows\INetCache\Content.MSO\3B7F24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3B7F24CD.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0" cy="571500"/>
                          </a:xfrm>
                          <a:prstGeom prst="rect">
                            <a:avLst/>
                          </a:prstGeom>
                          <a:noFill/>
                          <a:ln>
                            <a:noFill/>
                          </a:ln>
                        </pic:spPr>
                      </pic:pic>
                    </a:graphicData>
                  </a:graphic>
                </wp:inline>
              </w:drawing>
            </w:r>
          </w:p>
        </w:tc>
      </w:tr>
    </w:tbl>
    <w:p w:rsidR="00000000" w:rsidRDefault="00B5032F">
      <w:pPr>
        <w:rPr>
          <w:rFonts w:eastAsia="Times New Roman"/>
        </w:rPr>
      </w:pPr>
    </w:p>
    <w:p w:rsidR="00000000" w:rsidRDefault="00B5032F">
      <w:pPr>
        <w:pStyle w:val="titludiscplan"/>
      </w:pPr>
      <w:r>
        <w:t>FIŞA DISCIPLINEI</w:t>
      </w:r>
    </w:p>
    <w:p w:rsidR="00000000" w:rsidRDefault="00B5032F">
      <w:pPr>
        <w:pStyle w:val="subtitludiscplan"/>
      </w:pPr>
      <w: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66"/>
        <w:gridCol w:w="6698"/>
      </w:tblGrid>
      <w:tr w:rsidR="00000000">
        <w:trPr>
          <w:trHeight w:val="300"/>
        </w:trPr>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Universitatea "Alexandru Ioan Cuza" din Iaşi</w:t>
            </w:r>
          </w:p>
        </w:tc>
      </w:tr>
      <w:tr w:rsidR="00000000">
        <w:trPr>
          <w:trHeight w:val="300"/>
        </w:trPr>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Facultatea de Chimie</w:t>
            </w:r>
          </w:p>
        </w:tc>
      </w:tr>
      <w:tr w:rsidR="00000000">
        <w:trPr>
          <w:trHeight w:val="300"/>
        </w:trPr>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w:t>
            </w:r>
          </w:p>
        </w:tc>
        <w:tc>
          <w:tcPr>
            <w:tcW w:w="3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DEPARTAMENTUL DE CHIMIE</w:t>
            </w:r>
          </w:p>
        </w:tc>
      </w:tr>
      <w:tr w:rsidR="00000000">
        <w:trPr>
          <w:trHeight w:val="300"/>
        </w:trPr>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r>
              <w:rPr>
                <w:rFonts w:eastAsia="Times New Roman"/>
                <w:color w:val="000000"/>
                <w:sz w:val="20"/>
                <w:szCs w:val="20"/>
              </w:rPr>
              <w:t>Domeniul de studii</w:t>
            </w:r>
          </w:p>
        </w:tc>
        <w:tc>
          <w:tcPr>
            <w:tcW w:w="3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Chimie</w:t>
            </w:r>
          </w:p>
        </w:tc>
      </w:tr>
      <w:tr w:rsidR="00000000">
        <w:trPr>
          <w:trHeight w:val="300"/>
        </w:trPr>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Licenţă</w:t>
            </w:r>
          </w:p>
        </w:tc>
      </w:tr>
      <w:tr w:rsidR="00000000">
        <w:trPr>
          <w:trHeight w:val="300"/>
        </w:trPr>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Chimie medicală</w:t>
            </w:r>
          </w:p>
        </w:tc>
      </w:tr>
    </w:tbl>
    <w:p w:rsidR="00000000" w:rsidRDefault="00B5032F">
      <w:pPr>
        <w:rPr>
          <w:rFonts w:eastAsia="Times New Roman"/>
        </w:rPr>
      </w:pPr>
    </w:p>
    <w:p w:rsidR="00000000" w:rsidRDefault="00B5032F">
      <w:pPr>
        <w:pStyle w:val="subtitludiscplan"/>
      </w:pPr>
      <w: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0"/>
        <w:gridCol w:w="558"/>
        <w:gridCol w:w="2010"/>
        <w:gridCol w:w="558"/>
        <w:gridCol w:w="2456"/>
        <w:gridCol w:w="558"/>
        <w:gridCol w:w="2456"/>
        <w:gridCol w:w="558"/>
      </w:tblGrid>
      <w:tr w:rsidR="00000000">
        <w:trPr>
          <w:trHeight w:val="300"/>
        </w:trPr>
        <w:tc>
          <w:tcPr>
            <w:tcW w:w="2000" w:type="pct"/>
            <w:gridSpan w:val="3"/>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Bazele chimiei organice</w:t>
            </w:r>
          </w:p>
        </w:tc>
      </w:tr>
      <w:tr w:rsidR="00000000">
        <w:trPr>
          <w:trHeight w:val="300"/>
        </w:trPr>
        <w:tc>
          <w:tcPr>
            <w:tcW w:w="2000" w:type="pct"/>
            <w:gridSpan w:val="3"/>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Prof. Dr. IONEL MANGALAGIU</w:t>
            </w:r>
          </w:p>
        </w:tc>
      </w:tr>
      <w:tr w:rsidR="00000000">
        <w:trPr>
          <w:trHeight w:val="300"/>
        </w:trPr>
        <w:tc>
          <w:tcPr>
            <w:tcW w:w="2000" w:type="pct"/>
            <w:gridSpan w:val="3"/>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Conf. Dr. DORINA AMARIUCAI - MANTU/ Conf. Dr. VASILICHIA ANTOCI/ Asist. Dr. DUMITRELA DIACONU</w:t>
            </w:r>
          </w:p>
        </w:tc>
      </w:tr>
      <w:tr w:rsidR="00000000">
        <w:trPr>
          <w:trHeight w:val="300"/>
        </w:trPr>
        <w:tc>
          <w:tcPr>
            <w:tcW w:w="9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Ob</w:t>
            </w:r>
          </w:p>
        </w:tc>
      </w:tr>
    </w:tbl>
    <w:p w:rsidR="00000000" w:rsidRDefault="00B5032F">
      <w:pPr>
        <w:pStyle w:val="continut"/>
        <w:ind w:left="400"/>
        <w:rPr>
          <w:sz w:val="17"/>
          <w:szCs w:val="17"/>
        </w:rPr>
      </w:pPr>
      <w:r>
        <w:rPr>
          <w:sz w:val="17"/>
          <w:szCs w:val="17"/>
          <w:vertAlign w:val="superscript"/>
        </w:rPr>
        <w:t>*</w:t>
      </w:r>
      <w:r>
        <w:rPr>
          <w:i/>
          <w:iCs/>
          <w:sz w:val="17"/>
          <w:szCs w:val="17"/>
        </w:rPr>
        <w:t>E – Examen / C – Colocviu / V – Verificare</w:t>
      </w:r>
    </w:p>
    <w:p w:rsidR="00000000" w:rsidRDefault="00B5032F">
      <w:pPr>
        <w:pStyle w:val="continut"/>
        <w:ind w:left="400"/>
        <w:rPr>
          <w:sz w:val="17"/>
          <w:szCs w:val="17"/>
        </w:rPr>
      </w:pPr>
      <w:r>
        <w:rPr>
          <w:sz w:val="17"/>
          <w:szCs w:val="17"/>
          <w:vertAlign w:val="superscript"/>
        </w:rPr>
        <w:t>**</w:t>
      </w:r>
      <w:r>
        <w:rPr>
          <w:i/>
          <w:iCs/>
          <w:sz w:val="17"/>
          <w:szCs w:val="17"/>
        </w:rPr>
        <w:t>OB – Obligatoriu / OP – Opţional / F – Facultativ</w:t>
      </w:r>
    </w:p>
    <w:p w:rsidR="00000000" w:rsidRDefault="00B5032F">
      <w:pPr>
        <w:rPr>
          <w:rFonts w:eastAsia="Times New Roman"/>
        </w:rPr>
      </w:pPr>
    </w:p>
    <w:p w:rsidR="00000000" w:rsidRDefault="00B5032F">
      <w:pPr>
        <w:pStyle w:val="subtitludiscplan"/>
      </w:pPr>
      <w:r>
        <w:t xml:space="preserve">3. Timpul total estimat </w:t>
      </w:r>
      <w:r>
        <w:rPr>
          <w:b w:val="0"/>
          <w:bCs w:val="0"/>
        </w:rPr>
        <w:t>(ore pe semestru si activitati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0"/>
        <w:gridCol w:w="1116"/>
        <w:gridCol w:w="2233"/>
        <w:gridCol w:w="1116"/>
        <w:gridCol w:w="2233"/>
        <w:gridCol w:w="1116"/>
      </w:tblGrid>
      <w:tr w:rsidR="00000000">
        <w:trPr>
          <w:trHeight w:val="300"/>
        </w:trPr>
        <w:tc>
          <w:tcPr>
            <w:tcW w:w="1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2</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w:t>
            </w:r>
            <w:r>
              <w:rPr>
                <w:rFonts w:eastAsia="Times New Roman"/>
                <w:color w:val="000000"/>
                <w:sz w:val="20"/>
                <w:szCs w:val="20"/>
              </w:rPr>
              <w:t>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28</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ore</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39</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Documentare suplimentară în bibliotecă</w:t>
            </w:r>
            <w:r>
              <w:rPr>
                <w:rFonts w:eastAsia="Times New Roman"/>
                <w:color w:val="000000"/>
                <w:sz w:val="20"/>
                <w:szCs w:val="20"/>
              </w:rPr>
              <w:t>,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10</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Pregătire seminare/laboratoare,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10</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5</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5</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0</w:t>
            </w:r>
          </w:p>
        </w:tc>
      </w:tr>
      <w:tr w:rsidR="00000000">
        <w:trPr>
          <w:trHeight w:val="300"/>
        </w:trPr>
        <w:tc>
          <w:tcPr>
            <w:tcW w:w="0" w:type="auto"/>
            <w:gridSpan w:val="5"/>
            <w:tcBorders>
              <w:top w:val="single" w:sz="6" w:space="0" w:color="999999"/>
              <w:left w:val="nil"/>
              <w:bottom w:val="single" w:sz="6" w:space="0" w:color="999999"/>
              <w:right w:val="nil"/>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 </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r>
              <w:rPr>
                <w:rFonts w:eastAsia="Times New Roman"/>
                <w:color w:val="000000"/>
                <w:sz w:val="20"/>
                <w:szCs w:val="20"/>
                <w:vertAlign w:val="superscript"/>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69</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w:t>
            </w:r>
            <w:r>
              <w:rPr>
                <w:rFonts w:eastAsia="Times New Roman"/>
                <w:color w:val="000000"/>
                <w:sz w:val="20"/>
                <w:szCs w:val="20"/>
              </w:rPr>
              <w:t>Total ore pe semestru</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125</w:t>
            </w:r>
          </w:p>
        </w:tc>
      </w:tr>
      <w:tr w:rsidR="00000000">
        <w:trPr>
          <w:trHeight w:val="300"/>
        </w:trPr>
        <w:tc>
          <w:tcPr>
            <w:tcW w:w="0" w:type="auto"/>
            <w:gridSpan w:val="5"/>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5</w:t>
            </w:r>
          </w:p>
        </w:tc>
      </w:tr>
    </w:tbl>
    <w:p w:rsidR="00000000" w:rsidRDefault="00B5032F">
      <w:pPr>
        <w:rPr>
          <w:rFonts w:eastAsia="Times New Roman"/>
        </w:rPr>
      </w:pPr>
    </w:p>
    <w:p w:rsidR="00000000" w:rsidRDefault="00B5032F">
      <w:pPr>
        <w:pStyle w:val="subtitludiscplan"/>
      </w:pPr>
      <w:r>
        <w:t xml:space="preserve">4. Precondiţii - De curriculum </w:t>
      </w:r>
      <w:r>
        <w:rPr>
          <w:b w:val="0"/>
          <w:bCs w:val="0"/>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64"/>
      </w:tblGrid>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tc>
      </w:tr>
    </w:tbl>
    <w:p w:rsidR="00000000" w:rsidRDefault="00B5032F">
      <w:pPr>
        <w:rPr>
          <w:rFonts w:eastAsia="Times New Roman"/>
        </w:rPr>
      </w:pPr>
    </w:p>
    <w:p w:rsidR="00000000" w:rsidRDefault="00B5032F">
      <w:pPr>
        <w:pStyle w:val="subtitludiscplan"/>
      </w:pPr>
      <w:r>
        <w:lastRenderedPageBreak/>
        <w:t xml:space="preserve">5. Condiţii </w:t>
      </w:r>
      <w:r>
        <w:rPr>
          <w:b w:val="0"/>
          <w:bCs w:val="0"/>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49"/>
        <w:gridCol w:w="7815"/>
      </w:tblGrid>
      <w:tr w:rsidR="00000000">
        <w:trPr>
          <w:trHeight w:val="1500"/>
        </w:trPr>
        <w:tc>
          <w:tcPr>
            <w:tcW w:w="1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w:t>
            </w:r>
          </w:p>
        </w:tc>
      </w:tr>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Prezenta la laborator este obligatorie. Recuperarea este permisa in limita a doua laboratoare, cu alta grupa pe parcursul aceleasi saptamani.</w:t>
            </w:r>
          </w:p>
        </w:tc>
      </w:tr>
    </w:tbl>
    <w:p w:rsidR="00000000" w:rsidRDefault="00B5032F">
      <w:pPr>
        <w:rPr>
          <w:rFonts w:eastAsia="Times New Roman"/>
        </w:rPr>
      </w:pPr>
    </w:p>
    <w:p w:rsidR="00000000" w:rsidRDefault="00B5032F">
      <w:pPr>
        <w:pStyle w:val="subtitludiscplan"/>
      </w:pPr>
      <w:r>
        <w:t>6. Obiective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64"/>
      </w:tblGrid>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Generale.</w:t>
            </w:r>
            <w:r>
              <w:rPr>
                <w:rFonts w:eastAsia="Times New Roman"/>
                <w:color w:val="000000"/>
                <w:sz w:val="20"/>
                <w:szCs w:val="20"/>
              </w:rPr>
              <w:br/>
              <w:t>Cursul sus menţionat este un curs de baza pentru întelegerea domeniului chimiei organice</w:t>
            </w:r>
            <w:r>
              <w:rPr>
                <w:rFonts w:eastAsia="Times New Roman"/>
                <w:color w:val="000000"/>
                <w:sz w:val="20"/>
                <w:szCs w:val="20"/>
              </w:rPr>
              <w:t>. Cursul prezintă două laturi:</w:t>
            </w:r>
            <w:r>
              <w:rPr>
                <w:rFonts w:eastAsia="Times New Roman"/>
                <w:color w:val="000000"/>
                <w:sz w:val="20"/>
                <w:szCs w:val="20"/>
              </w:rPr>
              <w:br/>
              <w:t>O latură informativă, propunându-şi să ofere studenţilor o vedere de ansamblu şi în profunzime totodată asupra noţiunilor de bază ale chimiei organice.</w:t>
            </w:r>
            <w:r>
              <w:rPr>
                <w:rFonts w:eastAsia="Times New Roman"/>
                <w:color w:val="000000"/>
                <w:sz w:val="20"/>
                <w:szCs w:val="20"/>
              </w:rPr>
              <w:br/>
              <w:t>O latura formativă, cursul propunându-şi să dezvolte gândirea creatoare ş</w:t>
            </w:r>
            <w:r>
              <w:rPr>
                <w:rFonts w:eastAsia="Times New Roman"/>
                <w:color w:val="000000"/>
                <w:sz w:val="20"/>
                <w:szCs w:val="20"/>
              </w:rPr>
              <w:t>i sistemică a studenţilor, să arate care este logica internă în abordarea tematicii propuse, să le dezvolte studenţilor capacităţile şi deprinderile psiho-intelectuale si de ordin practic-aplicativ.</w:t>
            </w:r>
            <w:r>
              <w:rPr>
                <w:rFonts w:eastAsia="Times New Roman"/>
                <w:color w:val="000000"/>
                <w:sz w:val="20"/>
                <w:szCs w:val="20"/>
              </w:rPr>
              <w:br/>
              <w:t>O abordare interdisciplinară prin prezentarea multiplelor</w:t>
            </w:r>
            <w:r>
              <w:rPr>
                <w:rFonts w:eastAsia="Times New Roman"/>
                <w:color w:val="000000"/>
                <w:sz w:val="20"/>
                <w:szCs w:val="20"/>
              </w:rPr>
              <w:t xml:space="preserve"> aplicaţii practice ale unor compuşi studiaţi.</w:t>
            </w:r>
            <w:r>
              <w:rPr>
                <w:rFonts w:eastAsia="Times New Roman"/>
                <w:color w:val="000000"/>
                <w:sz w:val="20"/>
                <w:szCs w:val="20"/>
              </w:rPr>
              <w:br/>
              <w:t>Specifice.</w:t>
            </w:r>
            <w:r>
              <w:rPr>
                <w:rFonts w:eastAsia="Times New Roman"/>
                <w:color w:val="000000"/>
                <w:sz w:val="20"/>
                <w:szCs w:val="20"/>
              </w:rPr>
              <w:br/>
              <w:t>La finalizarea cu succes a acestei discipline, studenţii vor fi capabili să:</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Recunoacă şi să descrie conceptele, abordările, teoriile, metodele şi modelele privitoare la bazele chimiei organice . </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Identifice metodele şi tehnicile, materialele, substanţele şi aparatura necesară pentru efectuarea unor experimente specifice bazelor chimiei organice. </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Identifice aspectele transdisciplinare cu domenii conexe chimiei.</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Evalueze conceptele, teoriile </w:t>
            </w:r>
            <w:r>
              <w:rPr>
                <w:rFonts w:eastAsia="Times New Roman"/>
                <w:color w:val="000000"/>
                <w:sz w:val="20"/>
                <w:szCs w:val="20"/>
              </w:rPr>
              <w:t>şi metodele de bază ale domeniului chimie.</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Cunoască metodologia şi practica de lucru cu aparatura de laborator specifică bazelor chimei organice.</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Explice si să interpreteze o serie de proprietăti, concepte, abordări, teorii,modele si noţiuni fundamenta</w:t>
            </w:r>
            <w:r>
              <w:rPr>
                <w:rFonts w:eastAsia="Times New Roman"/>
                <w:color w:val="000000"/>
                <w:sz w:val="20"/>
                <w:szCs w:val="20"/>
              </w:rPr>
              <w:t>le privind bazele chimiei organice</w:t>
            </w:r>
          </w:p>
        </w:tc>
      </w:tr>
    </w:tbl>
    <w:p w:rsidR="00000000" w:rsidRDefault="00B5032F">
      <w:pPr>
        <w:rPr>
          <w:rFonts w:eastAsia="Times New Roman"/>
        </w:rPr>
      </w:pPr>
    </w:p>
    <w:p w:rsidR="00000000" w:rsidRDefault="00B5032F">
      <w:pPr>
        <w:pStyle w:val="subtitludiscplan"/>
      </w:pPr>
      <w:r>
        <w:t>7. Competenţe/Rezultate ale învăţării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64"/>
      </w:tblGrid>
      <w:tr w:rsidR="00000000">
        <w:trPr>
          <w:trHeight w:val="300"/>
        </w:trPr>
        <w:tc>
          <w:tcPr>
            <w:tcW w:w="5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Studentul/absolventul identifică și definește/explică concepte fundamentale de chimie (generală, anorganică, organică, analitică și chimie fizică) folosite în literatura de specia</w:t>
            </w:r>
            <w:r>
              <w:rPr>
                <w:rFonts w:eastAsia="Times New Roman"/>
                <w:color w:val="000000"/>
                <w:sz w:val="20"/>
                <w:szCs w:val="20"/>
              </w:rPr>
              <w:t>litate.</w:t>
            </w:r>
          </w:p>
          <w:p w:rsidR="00000000" w:rsidRDefault="00B5032F">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Studentul/absolventul descrie și integrează cunoștințe specifice și interdisciplinare în activitatea profesională.</w:t>
            </w:r>
          </w:p>
          <w:p w:rsidR="00000000" w:rsidRDefault="00B5032F">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Studentul/absolventul recunoaște și reproduce concepte științifice din ramurile chimiei anorganice, organice, analitice și chimiei fizice.</w:t>
            </w:r>
          </w:p>
          <w:p w:rsidR="00000000" w:rsidRDefault="00B5032F">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Studentul/absolventul identifică și descrie tehnicile experimentale de bază și moderne utilizate în analiza și caract</w:t>
            </w:r>
            <w:r>
              <w:rPr>
                <w:rFonts w:eastAsia="Times New Roman"/>
                <w:color w:val="000000"/>
                <w:sz w:val="20"/>
                <w:szCs w:val="20"/>
              </w:rPr>
              <w:t>erizarea compușilor chimici.</w:t>
            </w:r>
          </w:p>
          <w:p w:rsidR="00000000" w:rsidRDefault="00B5032F">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Studentul/absolventul identifică metode și procedee adecvate și efectuează experimente chimice pentru sinteza și analiza compușilor chimici.</w:t>
            </w:r>
          </w:p>
        </w:tc>
      </w:tr>
    </w:tbl>
    <w:p w:rsidR="00000000" w:rsidRDefault="00B5032F">
      <w:pPr>
        <w:rPr>
          <w:rFonts w:eastAsia="Times New Roman"/>
        </w:rPr>
      </w:pPr>
    </w:p>
    <w:p w:rsidR="00000000" w:rsidRDefault="00B5032F">
      <w:pPr>
        <w:pStyle w:val="subtitludiscplan"/>
      </w:pPr>
      <w: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82"/>
        <w:gridCol w:w="3349"/>
        <w:gridCol w:w="2233"/>
      </w:tblGrid>
      <w:tr w:rsidR="00000000">
        <w:trPr>
          <w:trHeight w:val="300"/>
          <w:tblHeader/>
        </w:trPr>
        <w:tc>
          <w:tcPr>
            <w:tcW w:w="2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8.1 Curs</w:t>
            </w:r>
          </w:p>
        </w:tc>
        <w:tc>
          <w:tcPr>
            <w:tcW w:w="1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Metode de predare</w:t>
            </w:r>
          </w:p>
        </w:tc>
        <w:tc>
          <w:tcPr>
            <w:tcW w:w="1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I. DEFINIŢIA, OBIECTUL ŞI CARACTERUL SPECIFIC AL CHIMIEI ORGANICE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Prelegerea; Explicaţia; Conversaţia; </w:t>
            </w:r>
            <w:r>
              <w:rPr>
                <w:rFonts w:eastAsia="Times New Roman"/>
                <w:color w:val="000000"/>
                <w:sz w:val="20"/>
                <w:szCs w:val="20"/>
              </w:rPr>
              <w:br/>
              <w:t>Descrierea;Problematizarea</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(2 ore, [1-8])</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II. ACIDITATE ŞI BAZICITATE. LEGĂTURI CHIMICE ÎN CHIMIA ORGANICĂ. INTERACŢIUNI DE NELEGĂTURĂ. UNELE PROPRIET</w:t>
            </w:r>
            <w:r>
              <w:rPr>
                <w:rFonts w:eastAsia="Times New Roman"/>
                <w:color w:val="000000"/>
                <w:sz w:val="20"/>
                <w:szCs w:val="20"/>
              </w:rPr>
              <w:t>ATI FIZICE ALE COMPUSILOR ORGANICI. EFECTE ELECTRONICE.</w:t>
            </w:r>
            <w:r>
              <w:rPr>
                <w:rFonts w:eastAsia="Times New Roman"/>
                <w:color w:val="000000"/>
                <w:sz w:val="20"/>
                <w:szCs w:val="20"/>
              </w:rPr>
              <w:br/>
              <w:t>II.1. Aciditate si bazicitate. Teoria Lewis si Bronsted</w:t>
            </w:r>
            <w:r>
              <w:rPr>
                <w:rFonts w:eastAsia="Times New Roman"/>
                <w:color w:val="000000"/>
                <w:sz w:val="20"/>
                <w:szCs w:val="20"/>
              </w:rPr>
              <w:br/>
              <w:t>II.2. Legaturi chimice in chimia organica: legatura covalenta, legatura ionica, legatura coordinativa</w:t>
            </w:r>
            <w:r>
              <w:rPr>
                <w:rFonts w:eastAsia="Times New Roman"/>
                <w:color w:val="000000"/>
                <w:sz w:val="20"/>
                <w:szCs w:val="20"/>
              </w:rPr>
              <w:br/>
              <w:t>II.3. Geometria moleculelor organice</w:t>
            </w:r>
            <w:r>
              <w:rPr>
                <w:rFonts w:eastAsia="Times New Roman"/>
                <w:color w:val="000000"/>
                <w:sz w:val="20"/>
                <w:szCs w:val="20"/>
              </w:rPr>
              <w:br/>
              <w:t>II.4.</w:t>
            </w:r>
            <w:r>
              <w:rPr>
                <w:rFonts w:eastAsia="Times New Roman"/>
                <w:color w:val="000000"/>
                <w:sz w:val="20"/>
                <w:szCs w:val="20"/>
              </w:rPr>
              <w:t xml:space="preserve"> Momente de dipol</w:t>
            </w:r>
            <w:r>
              <w:rPr>
                <w:rFonts w:eastAsia="Times New Roman"/>
                <w:color w:val="000000"/>
                <w:sz w:val="20"/>
                <w:szCs w:val="20"/>
              </w:rPr>
              <w:br/>
              <w:t>II.5. Efectul inductiv</w:t>
            </w:r>
            <w:r>
              <w:rPr>
                <w:rFonts w:eastAsia="Times New Roman"/>
                <w:color w:val="000000"/>
                <w:sz w:val="20"/>
                <w:szCs w:val="20"/>
              </w:rPr>
              <w:br/>
              <w:t>II.6. Efectul electromer</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Prelegerea; Explicaţia; Conversaţia; </w:t>
            </w:r>
            <w:r>
              <w:rPr>
                <w:rFonts w:eastAsia="Times New Roman"/>
                <w:color w:val="000000"/>
                <w:sz w:val="20"/>
                <w:szCs w:val="20"/>
              </w:rPr>
              <w:br/>
              <w:t>Descrierea;Problematizarea</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(10 ore, [1-8])</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lastRenderedPageBreak/>
              <w:t>III. CLASIFICAREA REACTIILOR CHIMICE IN CHIMIA ORGANICA. NOTIUMI DE REACTIVITATE</w:t>
            </w:r>
            <w:r>
              <w:rPr>
                <w:rFonts w:eastAsia="Times New Roman"/>
                <w:color w:val="000000"/>
                <w:sz w:val="20"/>
                <w:szCs w:val="20"/>
              </w:rPr>
              <w:br/>
              <w:t>III.1. Clasificarea reactii</w:t>
            </w:r>
            <w:r>
              <w:rPr>
                <w:rFonts w:eastAsia="Times New Roman"/>
                <w:color w:val="000000"/>
                <w:sz w:val="20"/>
                <w:szCs w:val="20"/>
              </w:rPr>
              <w:t>lor chimice</w:t>
            </w:r>
            <w:r>
              <w:rPr>
                <w:rFonts w:eastAsia="Times New Roman"/>
                <w:color w:val="000000"/>
                <w:sz w:val="20"/>
                <w:szCs w:val="20"/>
              </w:rPr>
              <w:br/>
              <w:t>III.2. Notiuni generale de reactivitate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Prelegerea; Explicaţia; Conversaţia; </w:t>
            </w:r>
            <w:r>
              <w:rPr>
                <w:rFonts w:eastAsia="Times New Roman"/>
                <w:color w:val="000000"/>
                <w:sz w:val="20"/>
                <w:szCs w:val="20"/>
              </w:rPr>
              <w:br/>
              <w:t>Descrierea;Problematizarea</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(2 ore, [1-8])</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IV. INTERMEDIARI.</w:t>
            </w:r>
            <w:r>
              <w:rPr>
                <w:rFonts w:eastAsia="Times New Roman"/>
                <w:color w:val="000000"/>
                <w:sz w:val="20"/>
                <w:szCs w:val="20"/>
              </w:rPr>
              <w:br/>
              <w:t>IV.1.Radicali liberi</w:t>
            </w:r>
            <w:r>
              <w:rPr>
                <w:rFonts w:eastAsia="Times New Roman"/>
                <w:color w:val="000000"/>
                <w:sz w:val="20"/>
                <w:szCs w:val="20"/>
              </w:rPr>
              <w:br/>
              <w:t>IV.2. Carbocationi</w:t>
            </w:r>
            <w:r>
              <w:rPr>
                <w:rFonts w:eastAsia="Times New Roman"/>
                <w:color w:val="000000"/>
                <w:sz w:val="20"/>
                <w:szCs w:val="20"/>
              </w:rPr>
              <w:br/>
              <w:t>IV.3. Carbanioni</w:t>
            </w:r>
            <w:r>
              <w:rPr>
                <w:rFonts w:eastAsia="Times New Roman"/>
                <w:color w:val="000000"/>
                <w:sz w:val="20"/>
                <w:szCs w:val="20"/>
              </w:rPr>
              <w:br/>
              <w:t>IV.4. Carbene, nitrene, etc.</w:t>
            </w:r>
            <w:r>
              <w:rPr>
                <w:rFonts w:eastAsia="Times New Roman"/>
                <w:color w:val="000000"/>
                <w:sz w:val="20"/>
                <w:szCs w:val="20"/>
              </w:rPr>
              <w:br/>
              <w:t>IV.5. Ioni-radicali</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Prelegerea; Explicaţia; Conversaţia; </w:t>
            </w:r>
            <w:r>
              <w:rPr>
                <w:rFonts w:eastAsia="Times New Roman"/>
                <w:color w:val="000000"/>
                <w:sz w:val="20"/>
                <w:szCs w:val="20"/>
              </w:rPr>
              <w:br/>
              <w:t>Descrierea;Problematizarea</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(4 ore, [1-8])</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V. IZOMERIE </w:t>
            </w:r>
            <w:r>
              <w:rPr>
                <w:rFonts w:eastAsia="Times New Roman"/>
                <w:color w:val="000000"/>
                <w:sz w:val="20"/>
                <w:szCs w:val="20"/>
              </w:rPr>
              <w:br/>
              <w:t>V.1. Izomeria de constitutie: catene, functiune, pozitie, valenta</w:t>
            </w:r>
            <w:r>
              <w:rPr>
                <w:rFonts w:eastAsia="Times New Roman"/>
                <w:color w:val="000000"/>
                <w:sz w:val="20"/>
                <w:szCs w:val="20"/>
              </w:rPr>
              <w:br/>
              <w:t>V.2. Stereoizomeria</w:t>
            </w:r>
            <w:r>
              <w:rPr>
                <w:rFonts w:eastAsia="Times New Roman"/>
                <w:color w:val="000000"/>
                <w:sz w:val="20"/>
                <w:szCs w:val="20"/>
              </w:rPr>
              <w:br/>
              <w:t>V. 2.1. Izomeria de conformatie (la compusi aciclici si ciclici)</w:t>
            </w:r>
            <w:r>
              <w:rPr>
                <w:rFonts w:eastAsia="Times New Roman"/>
                <w:color w:val="000000"/>
                <w:sz w:val="20"/>
                <w:szCs w:val="20"/>
              </w:rPr>
              <w:br/>
              <w:t>V.2.2. Izo</w:t>
            </w:r>
            <w:r>
              <w:rPr>
                <w:rFonts w:eastAsia="Times New Roman"/>
                <w:color w:val="000000"/>
                <w:sz w:val="20"/>
                <w:szCs w:val="20"/>
              </w:rPr>
              <w:t>meria de configuratie</w:t>
            </w:r>
            <w:r>
              <w:rPr>
                <w:rFonts w:eastAsia="Times New Roman"/>
                <w:color w:val="000000"/>
                <w:sz w:val="20"/>
                <w:szCs w:val="20"/>
              </w:rPr>
              <w:br/>
              <w:t>V.2.2.1. Diasterioizomeria E-Z</w:t>
            </w:r>
            <w:r>
              <w:rPr>
                <w:rFonts w:eastAsia="Times New Roman"/>
                <w:color w:val="000000"/>
                <w:sz w:val="20"/>
                <w:szCs w:val="20"/>
              </w:rPr>
              <w:br/>
              <w:t>V.2.2.2. Enantiomeria</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Prelegerea; Explicaţia; Conversaţia; </w:t>
            </w:r>
            <w:r>
              <w:rPr>
                <w:rFonts w:eastAsia="Times New Roman"/>
                <w:color w:val="000000"/>
                <w:sz w:val="20"/>
                <w:szCs w:val="20"/>
              </w:rPr>
              <w:br/>
              <w:t>Descrierea;Problematizarea</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(10 ore, [1-8])</w:t>
            </w:r>
          </w:p>
        </w:tc>
      </w:tr>
    </w:tbl>
    <w:p w:rsidR="00000000" w:rsidRDefault="00B5032F">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64"/>
      </w:tblGrid>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Bibliografie</w:t>
            </w:r>
          </w:p>
        </w:tc>
      </w:tr>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1. Neniţescu, C.D. Chimie Organică, Vol. I, II, Ed. Didactică şi Pedagogică, Bucuc</w:t>
            </w:r>
            <w:r>
              <w:rPr>
                <w:rFonts w:eastAsia="Times New Roman"/>
                <w:color w:val="000000"/>
                <w:sz w:val="20"/>
                <w:szCs w:val="20"/>
              </w:rPr>
              <w:t>ureşti, 1980.</w:t>
            </w:r>
            <w:r>
              <w:rPr>
                <w:rFonts w:eastAsia="Times New Roman"/>
                <w:color w:val="000000"/>
                <w:sz w:val="20"/>
                <w:szCs w:val="20"/>
              </w:rPr>
              <w:br/>
              <w:t>2. a. Ege, Seyhan. Organic Chemistry, 2nd Edition, D.C. Heath and Company, Lexington, Massachusets/Toronto, 1989; b. Ege, Seyhan. Organic Chemistry, 4th Edition, Hugton-Mifflin, 1998;</w:t>
            </w:r>
            <w:r>
              <w:rPr>
                <w:rFonts w:eastAsia="Times New Roman"/>
                <w:color w:val="000000"/>
                <w:sz w:val="20"/>
                <w:szCs w:val="20"/>
              </w:rPr>
              <w:br/>
              <w:t>3. Solomons, T.W.G. Fundamentals of Organic Chemistry, 5th</w:t>
            </w:r>
            <w:r>
              <w:rPr>
                <w:rFonts w:eastAsia="Times New Roman"/>
                <w:color w:val="000000"/>
                <w:sz w:val="20"/>
                <w:szCs w:val="20"/>
              </w:rPr>
              <w:t xml:space="preserve"> Edition, John Wiley &amp; Sons, New York/ Chichester/Brisbane/Toronto/Singapore, 1992</w:t>
            </w:r>
            <w:r>
              <w:rPr>
                <w:rFonts w:eastAsia="Times New Roman"/>
                <w:color w:val="000000"/>
                <w:sz w:val="20"/>
                <w:szCs w:val="20"/>
              </w:rPr>
              <w:br/>
              <w:t>4. Avram, M. Chimie Organică, Ed. Zecasian, Bucucureşti,1999.</w:t>
            </w:r>
            <w:r>
              <w:rPr>
                <w:rFonts w:eastAsia="Times New Roman"/>
                <w:color w:val="000000"/>
                <w:sz w:val="20"/>
                <w:szCs w:val="20"/>
              </w:rPr>
              <w:br/>
              <w:t>5. Vollhardt, K.P.C.; Schore, N.E. Organic Chemistry, W.H. Freeman and Company, New York, 2002.</w:t>
            </w:r>
            <w:r>
              <w:rPr>
                <w:rFonts w:eastAsia="Times New Roman"/>
                <w:color w:val="000000"/>
                <w:sz w:val="20"/>
                <w:szCs w:val="20"/>
              </w:rPr>
              <w:br/>
              <w:t xml:space="preserve">6. Mangalagiu, </w:t>
            </w:r>
            <w:r>
              <w:rPr>
                <w:rFonts w:eastAsia="Times New Roman"/>
                <w:color w:val="000000"/>
                <w:sz w:val="20"/>
                <w:szCs w:val="20"/>
              </w:rPr>
              <w:t>I. Probleme de chimie organică, Ed. Dosoftei, IASI, 2000.</w:t>
            </w:r>
            <w:r>
              <w:rPr>
                <w:rFonts w:eastAsia="Times New Roman"/>
                <w:color w:val="000000"/>
                <w:sz w:val="20"/>
                <w:szCs w:val="20"/>
              </w:rPr>
              <w:br/>
              <w:t>7. Nicolaescu, T., Cireş, L.: Chimia hidrocarburilor, Ed. Univ. “Al. I. Cuza” Iaşi (rotaprint), Iaşi, 1996.</w:t>
            </w:r>
            <w:r>
              <w:rPr>
                <w:rFonts w:eastAsia="Times New Roman"/>
                <w:color w:val="000000"/>
                <w:sz w:val="20"/>
                <w:szCs w:val="20"/>
              </w:rPr>
              <w:br/>
              <w:t xml:space="preserve">8. Mangalagiu, I. Bazele Chimiei Organice, Note de curs, 2025-2026 (incarcat pe platforma </w:t>
            </w:r>
            <w:r>
              <w:rPr>
                <w:rFonts w:eastAsia="Times New Roman"/>
                <w:color w:val="000000"/>
                <w:sz w:val="20"/>
                <w:szCs w:val="20"/>
              </w:rPr>
              <w:t xml:space="preserve">Moodle). </w:t>
            </w:r>
          </w:p>
        </w:tc>
      </w:tr>
    </w:tbl>
    <w:p w:rsidR="00000000" w:rsidRDefault="00B5032F">
      <w:pPr>
        <w:rPr>
          <w:rFonts w:eastAsia="Times New Roman"/>
        </w:rPr>
      </w:pPr>
    </w:p>
    <w:p w:rsidR="00000000" w:rsidRDefault="00B5032F">
      <w:pPr>
        <w:pStyle w:val="subtitludiscplan"/>
      </w:pPr>
      <w: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82"/>
        <w:gridCol w:w="3349"/>
        <w:gridCol w:w="2233"/>
      </w:tblGrid>
      <w:tr w:rsidR="00000000">
        <w:trPr>
          <w:trHeight w:val="300"/>
          <w:tblHeader/>
        </w:trPr>
        <w:tc>
          <w:tcPr>
            <w:tcW w:w="2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8.2 Seminar / Laborator</w:t>
            </w:r>
          </w:p>
        </w:tc>
        <w:tc>
          <w:tcPr>
            <w:tcW w:w="1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Metode de predare</w:t>
            </w:r>
          </w:p>
        </w:tc>
        <w:tc>
          <w:tcPr>
            <w:tcW w:w="1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Protectia muncii. Documentarea in chimia organica. Cunoasterea ustensilelor de laborator</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(6 ore, [1-4])</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Analiza elementală calitativă în chimia organică</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(4 ore, [1-4])</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Distilarea. Teoria distilării. Distilarea simplă</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(6 ore, [1-4])</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Cristalizarea. Recristalizarea. 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(6 ore, [1-4])</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Extracţia. Extracţia lichid-lichid, solid-lichid (simpla si continua). </w:t>
            </w:r>
            <w:r>
              <w:rPr>
                <w:rFonts w:eastAsia="Times New Roman"/>
                <w:color w:val="000000"/>
                <w:sz w:val="20"/>
                <w:szCs w:val="20"/>
              </w:rPr>
              <w:br/>
              <w:t>Test final. Evaluarea rezultatelor</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Explicaţia; Exerci</w:t>
            </w:r>
            <w:r>
              <w:rPr>
                <w:rFonts w:eastAsia="Times New Roman"/>
                <w:color w:val="000000"/>
                <w:sz w:val="20"/>
                <w:szCs w:val="20"/>
              </w:rPr>
              <w:t>țiu, Problematizare</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(6 ore, [1-4])</w:t>
            </w:r>
          </w:p>
        </w:tc>
      </w:tr>
    </w:tbl>
    <w:p w:rsidR="00000000" w:rsidRDefault="00B5032F">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64"/>
      </w:tblGrid>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Bibliografie</w:t>
            </w:r>
          </w:p>
        </w:tc>
      </w:tr>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1. Vogel, A.: Practical Organic Chemistry, Longmas, 3th Ed., 1961.</w:t>
            </w:r>
            <w:r>
              <w:rPr>
                <w:rFonts w:eastAsia="Times New Roman"/>
                <w:color w:val="000000"/>
                <w:sz w:val="20"/>
                <w:szCs w:val="20"/>
              </w:rPr>
              <w:br/>
            </w:r>
            <w:r>
              <w:rPr>
                <w:rFonts w:eastAsia="Times New Roman"/>
                <w:color w:val="000000"/>
                <w:sz w:val="20"/>
                <w:szCs w:val="20"/>
              </w:rPr>
              <w:t>2. Moldoveanu, C.; Zbancioc, Ghe; Butnariu, R.; Balan, A.M.; Florea, O.; Mangalagiu, I.I.: Bazele chimiei organice – Manual de laborator, Editura Universitatii Al.I.Cuza Iasi, 2008.</w:t>
            </w:r>
            <w:r>
              <w:rPr>
                <w:rFonts w:eastAsia="Times New Roman"/>
                <w:color w:val="000000"/>
                <w:sz w:val="20"/>
                <w:szCs w:val="20"/>
              </w:rPr>
              <w:br/>
              <w:t>3. Organicum-„Chimie organică şi practică” – Ed. Ştiinţifică şi Tehnică, B</w:t>
            </w:r>
            <w:r>
              <w:rPr>
                <w:rFonts w:eastAsia="Times New Roman"/>
                <w:color w:val="000000"/>
                <w:sz w:val="20"/>
                <w:szCs w:val="20"/>
              </w:rPr>
              <w:t>ucureşti, 1982.</w:t>
            </w:r>
            <w:r>
              <w:rPr>
                <w:rFonts w:eastAsia="Times New Roman"/>
                <w:color w:val="000000"/>
                <w:sz w:val="20"/>
                <w:szCs w:val="20"/>
              </w:rPr>
              <w:br/>
              <w:t>4. Mangalagiu, I. : Probleme de chimie organică, Ed. Dosoftei, IASI, 2000.</w:t>
            </w:r>
          </w:p>
        </w:tc>
      </w:tr>
    </w:tbl>
    <w:p w:rsidR="00000000" w:rsidRDefault="00B5032F">
      <w:pPr>
        <w:rPr>
          <w:rFonts w:eastAsia="Times New Roman"/>
        </w:rPr>
      </w:pPr>
    </w:p>
    <w:p w:rsidR="00000000" w:rsidRDefault="00B5032F">
      <w:pPr>
        <w:pStyle w:val="subtitludiscplan"/>
      </w:pPr>
      <w:r>
        <w:t>9. Coroborarea conţinutului disciplinei cu aşteptările reprezentanţilor comunităţii, asociaţiilor profesionale şi angajatorilor reprezentativi din domeniul afere</w:t>
      </w:r>
      <w:r>
        <w:t>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64"/>
      </w:tblGrid>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După parcurgerea şi promovarea disciplinei, studentul va avea cunoştinţele teoretice şi abiltăţile practice in domeniul bazelor chimiei organice. Acestea ii vor permite sa dobândească principiile şi metodele experimentale de bază pentru toat</w:t>
            </w:r>
            <w:r>
              <w:rPr>
                <w:rFonts w:eastAsia="Times New Roman"/>
                <w:color w:val="000000"/>
                <w:sz w:val="20"/>
                <w:szCs w:val="20"/>
              </w:rPr>
              <w:t>e celelalte laboratoare de chimie si totodata sa detina competente pentru a putea desfasura activitati in diverse domenii de activitate dum ar fi: laboratoare de analiza din spitale si institute de cercetare, laboratoare farmaceutice si industriale, functi</w:t>
            </w:r>
            <w:r>
              <w:rPr>
                <w:rFonts w:eastAsia="Times New Roman"/>
                <w:color w:val="000000"/>
                <w:sz w:val="20"/>
                <w:szCs w:val="20"/>
              </w:rPr>
              <w:t>onar cu abilitati pe domeniu chimie.</w:t>
            </w:r>
          </w:p>
        </w:tc>
      </w:tr>
    </w:tbl>
    <w:p w:rsidR="00000000" w:rsidRDefault="00B5032F">
      <w:pPr>
        <w:rPr>
          <w:rFonts w:eastAsia="Times New Roman"/>
        </w:rPr>
      </w:pPr>
    </w:p>
    <w:p w:rsidR="00000000" w:rsidRDefault="00B5032F">
      <w:pPr>
        <w:pStyle w:val="subtitludiscplan"/>
      </w:pPr>
      <w: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63"/>
        <w:gridCol w:w="1508"/>
        <w:gridCol w:w="3771"/>
        <w:gridCol w:w="3622"/>
      </w:tblGrid>
      <w:tr w:rsidR="00000000">
        <w:trPr>
          <w:trHeight w:val="300"/>
        </w:trPr>
        <w:tc>
          <w:tcPr>
            <w:tcW w:w="0" w:type="auto"/>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10.1 Evaluare continuă</w:t>
            </w:r>
          </w:p>
        </w:tc>
        <w:tc>
          <w:tcPr>
            <w:tcW w:w="125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Pondere (min. 30%)</w:t>
            </w:r>
          </w:p>
        </w:tc>
        <w:tc>
          <w:tcPr>
            <w:tcW w:w="1200" w:type="pct"/>
            <w:vAlign w:val="center"/>
            <w:hideMark/>
          </w:tcPr>
          <w:p w:rsidR="00000000" w:rsidRDefault="00B5032F">
            <w:pPr>
              <w:jc w:val="center"/>
              <w:rPr>
                <w:rFonts w:eastAsia="Times New Roman"/>
              </w:rPr>
            </w:pPr>
            <w:r>
              <w:rPr>
                <w:rFonts w:eastAsia="Times New Roman"/>
              </w:rPr>
              <w:t>30</w:t>
            </w:r>
          </w:p>
        </w:tc>
      </w:tr>
      <w:tr w:rsidR="00000000">
        <w:trPr>
          <w:trHeight w:val="300"/>
        </w:trPr>
        <w:tc>
          <w:tcPr>
            <w:tcW w:w="750" w:type="pct"/>
            <w:vMerge w:val="restar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Curs</w:t>
            </w:r>
          </w:p>
        </w:tc>
        <w:tc>
          <w:tcPr>
            <w:tcW w:w="175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Forma de evaluare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Verificare orală </w:t>
            </w:r>
          </w:p>
        </w:tc>
      </w:tr>
      <w:tr w:rsidR="00000000">
        <w:trPr>
          <w:trHeight w:val="300"/>
        </w:trPr>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000000" w:rsidRDefault="00B5032F">
            <w:pPr>
              <w:rPr>
                <w:rFonts w:eastAsia="Times New Roman"/>
                <w:color w:val="000000"/>
                <w:sz w:val="20"/>
                <w:szCs w:val="20"/>
              </w:rPr>
            </w:pPr>
          </w:p>
        </w:tc>
        <w:tc>
          <w:tcPr>
            <w:tcW w:w="175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Pondere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20</w:t>
            </w:r>
          </w:p>
        </w:tc>
      </w:tr>
      <w:tr w:rsidR="00000000">
        <w:trPr>
          <w:trHeight w:val="300"/>
        </w:trPr>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000000" w:rsidRDefault="00B5032F">
            <w:pPr>
              <w:rPr>
                <w:rFonts w:eastAsia="Times New Roman"/>
                <w:color w:val="000000"/>
                <w:sz w:val="20"/>
                <w:szCs w:val="20"/>
              </w:rPr>
            </w:pPr>
          </w:p>
        </w:tc>
        <w:tc>
          <w:tcPr>
            <w:tcW w:w="175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Nepromovarea Evaluării continue determină nepromovarea Evaluării finale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Nu </w:t>
            </w:r>
          </w:p>
        </w:tc>
      </w:tr>
      <w:tr w:rsidR="00000000">
        <w:trPr>
          <w:trHeight w:val="300"/>
        </w:trPr>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000000" w:rsidRDefault="00B5032F">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Metode de evaluare</w:t>
            </w:r>
          </w:p>
        </w:tc>
        <w:tc>
          <w:tcPr>
            <w:tcW w:w="0" w:type="auto"/>
            <w:gridSpan w:val="2"/>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73"/>
              <w:gridCol w:w="1837"/>
              <w:gridCol w:w="1837"/>
            </w:tblGrid>
            <w:tr w:rsidR="00000000">
              <w:trPr>
                <w:trHeight w:val="300"/>
              </w:trPr>
              <w:tc>
                <w:tcPr>
                  <w:tcW w:w="2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Detalii</w:t>
                  </w:r>
                </w:p>
              </w:tc>
              <w:tc>
                <w:tcPr>
                  <w:tcW w:w="1250" w:type="pct"/>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Pondere</w:t>
                  </w:r>
                </w:p>
              </w:tc>
              <w:tc>
                <w:tcPr>
                  <w:tcW w:w="1250" w:type="pct"/>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cu reexaminare</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Verificare orală periodică</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Nu </w:t>
                  </w:r>
                </w:p>
              </w:tc>
            </w:tr>
          </w:tbl>
          <w:p w:rsidR="00000000" w:rsidRDefault="00B5032F">
            <w:pPr>
              <w:rPr>
                <w:rFonts w:eastAsia="Times New Roman"/>
              </w:rPr>
            </w:pPr>
          </w:p>
        </w:tc>
      </w:tr>
      <w:tr w:rsidR="00000000">
        <w:trPr>
          <w:trHeight w:val="300"/>
        </w:trPr>
        <w:tc>
          <w:tcPr>
            <w:tcW w:w="750" w:type="pct"/>
            <w:vMerge w:val="restar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Seminar / Laborator</w:t>
            </w:r>
          </w:p>
        </w:tc>
        <w:tc>
          <w:tcPr>
            <w:tcW w:w="175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Forma de evaluare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Verificare mixtă </w:t>
            </w:r>
          </w:p>
        </w:tc>
      </w:tr>
      <w:tr w:rsidR="00000000">
        <w:trPr>
          <w:trHeight w:val="300"/>
        </w:trPr>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000000" w:rsidRDefault="00B5032F">
            <w:pPr>
              <w:rPr>
                <w:rFonts w:eastAsia="Times New Roman"/>
                <w:color w:val="000000"/>
                <w:sz w:val="20"/>
                <w:szCs w:val="20"/>
              </w:rPr>
            </w:pPr>
          </w:p>
        </w:tc>
        <w:tc>
          <w:tcPr>
            <w:tcW w:w="175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Pondere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80</w:t>
            </w:r>
          </w:p>
        </w:tc>
      </w:tr>
      <w:tr w:rsidR="00000000">
        <w:trPr>
          <w:trHeight w:val="300"/>
        </w:trPr>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000000" w:rsidRDefault="00B5032F">
            <w:pPr>
              <w:rPr>
                <w:rFonts w:eastAsia="Times New Roman"/>
                <w:color w:val="000000"/>
                <w:sz w:val="20"/>
                <w:szCs w:val="20"/>
              </w:rPr>
            </w:pPr>
          </w:p>
        </w:tc>
        <w:tc>
          <w:tcPr>
            <w:tcW w:w="175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Nepromovarea Evaluării continue determină nepromovarea Evaluării finale</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Da </w:t>
            </w:r>
          </w:p>
        </w:tc>
      </w:tr>
      <w:tr w:rsidR="00000000">
        <w:trPr>
          <w:trHeight w:val="300"/>
        </w:trPr>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000000" w:rsidRDefault="00B5032F">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Metode de evaluare</w:t>
            </w:r>
          </w:p>
        </w:tc>
        <w:tc>
          <w:tcPr>
            <w:tcW w:w="0" w:type="auto"/>
            <w:gridSpan w:val="2"/>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73"/>
              <w:gridCol w:w="1837"/>
              <w:gridCol w:w="1837"/>
            </w:tblGrid>
            <w:tr w:rsidR="00000000">
              <w:trPr>
                <w:trHeight w:val="300"/>
              </w:trPr>
              <w:tc>
                <w:tcPr>
                  <w:tcW w:w="25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Detalii</w:t>
                  </w:r>
                </w:p>
              </w:tc>
              <w:tc>
                <w:tcPr>
                  <w:tcW w:w="1250" w:type="pct"/>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Pondere</w:t>
                  </w:r>
                </w:p>
              </w:tc>
              <w:tc>
                <w:tcPr>
                  <w:tcW w:w="1250" w:type="pct"/>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cu reexaminare</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Verificare practică periodică </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Nu </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Verificare orală periodică </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Nu </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Test </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40</w:t>
                  </w:r>
                </w:p>
              </w:tc>
              <w:tc>
                <w:tcPr>
                  <w:tcW w:w="0" w:type="auto"/>
                  <w:tcBorders>
                    <w:top w:val="single" w:sz="6" w:space="0" w:color="999999"/>
                    <w:left w:val="single" w:sz="6" w:space="0" w:color="999999"/>
                    <w:bottom w:val="single" w:sz="6" w:space="0" w:color="999999"/>
                    <w:right w:val="single" w:sz="6" w:space="0" w:color="999999"/>
                  </w:tcBorders>
                  <w:tcMar>
                    <w:top w:w="30" w:type="dxa"/>
                    <w:left w:w="0" w:type="dxa"/>
                    <w:bottom w:w="0" w:type="dxa"/>
                    <w:right w:w="0" w:type="dxa"/>
                  </w:tcMar>
                  <w:hideMark/>
                </w:tcPr>
                <w:p w:rsidR="00000000" w:rsidRDefault="00B5032F">
                  <w:pPr>
                    <w:jc w:val="center"/>
                    <w:rPr>
                      <w:rFonts w:eastAsia="Times New Roman"/>
                      <w:color w:val="000000"/>
                      <w:sz w:val="20"/>
                      <w:szCs w:val="20"/>
                    </w:rPr>
                  </w:pPr>
                  <w:r>
                    <w:rPr>
                      <w:rFonts w:eastAsia="Times New Roman"/>
                      <w:color w:val="000000"/>
                      <w:sz w:val="20"/>
                      <w:szCs w:val="20"/>
                    </w:rPr>
                    <w:t xml:space="preserve">Nu </w:t>
                  </w:r>
                </w:p>
              </w:tc>
            </w:tr>
          </w:tbl>
          <w:p w:rsidR="00000000" w:rsidRDefault="00B5032F">
            <w:pPr>
              <w:rPr>
                <w:rFonts w:eastAsia="Times New Roman"/>
              </w:rPr>
            </w:pPr>
          </w:p>
        </w:tc>
      </w:tr>
    </w:tbl>
    <w:p w:rsidR="00000000" w:rsidRDefault="00B5032F">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07"/>
        <w:gridCol w:w="3461"/>
        <w:gridCol w:w="3796"/>
      </w:tblGrid>
      <w:tr w:rsidR="00000000">
        <w:trPr>
          <w:trHeight w:val="300"/>
        </w:trPr>
        <w:tc>
          <w:tcPr>
            <w:tcW w:w="175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10.2 Evaluare finală</w:t>
            </w:r>
          </w:p>
        </w:tc>
        <w:tc>
          <w:tcPr>
            <w:tcW w:w="155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Pondere (max. 70%)</w:t>
            </w:r>
          </w:p>
        </w:tc>
        <w:tc>
          <w:tcPr>
            <w:tcW w:w="0" w:type="auto"/>
            <w:tcBorders>
              <w:top w:val="single" w:sz="6" w:space="0" w:color="999999"/>
              <w:left w:val="single" w:sz="6" w:space="0" w:color="999999"/>
              <w:bottom w:val="single" w:sz="6" w:space="0" w:color="999999"/>
              <w:right w:val="single" w:sz="6" w:space="0" w:color="999999"/>
            </w:tcBorders>
            <w:tcMar>
              <w:top w:w="30" w:type="dxa"/>
              <w:left w:w="15" w:type="dxa"/>
              <w:bottom w:w="15" w:type="dxa"/>
              <w:right w:w="15" w:type="dxa"/>
            </w:tcMar>
            <w:hideMark/>
          </w:tcPr>
          <w:p w:rsidR="00000000" w:rsidRDefault="00B5032F">
            <w:pPr>
              <w:jc w:val="center"/>
              <w:rPr>
                <w:rFonts w:eastAsia="Times New Roman"/>
                <w:color w:val="000000"/>
                <w:sz w:val="20"/>
                <w:szCs w:val="20"/>
              </w:rPr>
            </w:pPr>
            <w:r>
              <w:rPr>
                <w:rFonts w:eastAsia="Times New Roman"/>
                <w:color w:val="000000"/>
                <w:sz w:val="20"/>
                <w:szCs w:val="20"/>
              </w:rPr>
              <w:t>70</w:t>
            </w:r>
          </w:p>
        </w:tc>
      </w:tr>
      <w:tr w:rsidR="00000000">
        <w:trPr>
          <w:trHeight w:val="3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Forma de evaluare</w:t>
            </w:r>
          </w:p>
        </w:tc>
        <w:tc>
          <w:tcPr>
            <w:tcW w:w="2000" w:type="pct"/>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t xml:space="preserve">Verificare scrisă finală </w:t>
            </w:r>
          </w:p>
        </w:tc>
      </w:tr>
    </w:tbl>
    <w:p w:rsidR="00000000" w:rsidRDefault="00B5032F">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71"/>
        <w:gridCol w:w="3293"/>
      </w:tblGrid>
      <w:tr w:rsidR="00000000">
        <w:trPr>
          <w:trHeight w:val="300"/>
        </w:trPr>
        <w:tc>
          <w:tcPr>
            <w:tcW w:w="250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10.3 Menţiuni (situaţii speciale în evaluare)</w:t>
            </w:r>
          </w:p>
        </w:tc>
      </w:tr>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p>
        </w:tc>
        <w:tc>
          <w:tcPr>
            <w:tcW w:w="0" w:type="auto"/>
            <w:vAlign w:val="center"/>
            <w:hideMark/>
          </w:tcPr>
          <w:p w:rsidR="00000000" w:rsidRDefault="00B5032F">
            <w:pPr>
              <w:rPr>
                <w:rFonts w:eastAsia="Times New Roman"/>
                <w:sz w:val="20"/>
                <w:szCs w:val="20"/>
              </w:rPr>
            </w:pPr>
          </w:p>
        </w:tc>
      </w:tr>
    </w:tbl>
    <w:p w:rsidR="00000000" w:rsidRDefault="00B5032F">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28"/>
        <w:gridCol w:w="36"/>
      </w:tblGrid>
      <w:tr w:rsidR="00000000">
        <w:trPr>
          <w:trHeight w:val="300"/>
        </w:trPr>
        <w:tc>
          <w:tcPr>
            <w:tcW w:w="2500" w:type="pct"/>
            <w:gridSpan w:val="2"/>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b/>
                <w:bCs/>
                <w:color w:val="000000"/>
                <w:sz w:val="20"/>
                <w:szCs w:val="20"/>
              </w:rPr>
              <w:t>10.4 Standard minim de performanţă</w:t>
            </w:r>
          </w:p>
        </w:tc>
      </w:tr>
      <w:tr w:rsidR="00000000">
        <w:trPr>
          <w:trHeight w:val="1500"/>
        </w:trPr>
        <w:tc>
          <w:tcPr>
            <w:tcW w:w="0" w:type="auto"/>
            <w:tcBorders>
              <w:top w:val="single" w:sz="6" w:space="0" w:color="999999"/>
              <w:left w:val="single" w:sz="6" w:space="0" w:color="999999"/>
              <w:bottom w:val="single" w:sz="6" w:space="0" w:color="999999"/>
              <w:right w:val="single" w:sz="6" w:space="0" w:color="999999"/>
            </w:tcBorders>
            <w:tcMar>
              <w:top w:w="30" w:type="dxa"/>
              <w:left w:w="40" w:type="dxa"/>
              <w:bottom w:w="0" w:type="dxa"/>
              <w:right w:w="40" w:type="dxa"/>
            </w:tcMar>
            <w:hideMark/>
          </w:tcPr>
          <w:p w:rsidR="00000000" w:rsidRDefault="00B5032F">
            <w:pPr>
              <w:rPr>
                <w:rFonts w:eastAsia="Times New Roman"/>
                <w:color w:val="000000"/>
                <w:sz w:val="20"/>
                <w:szCs w:val="20"/>
              </w:rPr>
            </w:pPr>
            <w:r>
              <w:rPr>
                <w:rFonts w:eastAsia="Times New Roman"/>
                <w:color w:val="000000"/>
                <w:sz w:val="20"/>
                <w:szCs w:val="20"/>
              </w:rPr>
              <w:sym w:font="Symbol" w:char="F0A7"/>
            </w:r>
            <w:r>
              <w:rPr>
                <w:rFonts w:eastAsia="Times New Roman"/>
                <w:color w:val="000000"/>
                <w:sz w:val="20"/>
                <w:szCs w:val="20"/>
              </w:rPr>
              <w:t xml:space="preserve"> Stabilirea structurii şi reactivităţii compuşilor chimici studiaţi, aplicând modele şi teorii adecvate.</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Utilizarea corectă a metodelor şi tehnicilor, a materialelor, substanţelor şi aparaturii cu respectarea normelor de securitate şi sănătate în muncă la efectuarea unui experiment chimic. </w:t>
            </w:r>
            <w:r>
              <w:rPr>
                <w:rFonts w:eastAsia="Times New Roman"/>
                <w:color w:val="000000"/>
                <w:sz w:val="20"/>
                <w:szCs w:val="20"/>
              </w:rPr>
              <w:br/>
            </w:r>
            <w:r>
              <w:rPr>
                <w:rFonts w:eastAsia="Times New Roman"/>
                <w:color w:val="000000"/>
                <w:sz w:val="20"/>
                <w:szCs w:val="20"/>
              </w:rPr>
              <w:sym w:font="Symbol" w:char="F0A7"/>
            </w:r>
            <w:r>
              <w:rPr>
                <w:rFonts w:eastAsia="Times New Roman"/>
                <w:color w:val="000000"/>
                <w:sz w:val="20"/>
                <w:szCs w:val="20"/>
              </w:rPr>
              <w:t xml:space="preserve"> Determinarea structurii si stabilirea proprietăţilor fizico-chimic</w:t>
            </w:r>
            <w:r>
              <w:rPr>
                <w:rFonts w:eastAsia="Times New Roman"/>
                <w:color w:val="000000"/>
                <w:sz w:val="20"/>
                <w:szCs w:val="20"/>
              </w:rPr>
              <w:t xml:space="preserve">e ale compușilor chimici </w:t>
            </w:r>
            <w:r>
              <w:rPr>
                <w:rFonts w:eastAsia="Times New Roman"/>
                <w:color w:val="000000"/>
                <w:sz w:val="20"/>
                <w:szCs w:val="20"/>
              </w:rPr>
              <w:br/>
              <w:t>Efectuarea unei documentari adecvate referitoare la sinteza si proprietățile unui compus chimic şi realizarea autonoma a experimentelor</w:t>
            </w:r>
          </w:p>
        </w:tc>
        <w:tc>
          <w:tcPr>
            <w:tcW w:w="0" w:type="auto"/>
            <w:vAlign w:val="center"/>
            <w:hideMark/>
          </w:tcPr>
          <w:p w:rsidR="00000000" w:rsidRDefault="00B5032F">
            <w:pPr>
              <w:rPr>
                <w:rFonts w:eastAsia="Times New Roman"/>
                <w:sz w:val="20"/>
                <w:szCs w:val="20"/>
              </w:rPr>
            </w:pPr>
          </w:p>
        </w:tc>
      </w:tr>
    </w:tbl>
    <w:p w:rsidR="00000000" w:rsidRDefault="00B5032F">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460"/>
        <w:gridCol w:w="2584"/>
        <w:gridCol w:w="7136"/>
      </w:tblGrid>
      <w:tr w:rsidR="00000000">
        <w:tc>
          <w:tcPr>
            <w:tcW w:w="0" w:type="auto"/>
            <w:hideMark/>
          </w:tcPr>
          <w:p w:rsidR="00000000" w:rsidRDefault="00B5032F">
            <w:pPr>
              <w:jc w:val="center"/>
              <w:rPr>
                <w:rFonts w:eastAsia="Times New Roman"/>
                <w:b/>
                <w:bCs/>
                <w:sz w:val="22"/>
                <w:szCs w:val="22"/>
              </w:rPr>
            </w:pPr>
            <w:r>
              <w:rPr>
                <w:rFonts w:eastAsia="Times New Roman"/>
                <w:b/>
                <w:bCs/>
                <w:sz w:val="22"/>
                <w:szCs w:val="22"/>
              </w:rPr>
              <w:t>Data completării,</w:t>
            </w:r>
            <w:r>
              <w:rPr>
                <w:rFonts w:eastAsia="Times New Roman"/>
                <w:b/>
                <w:bCs/>
                <w:sz w:val="22"/>
                <w:szCs w:val="22"/>
              </w:rPr>
              <w:br/>
              <w:t> </w:t>
            </w:r>
          </w:p>
        </w:tc>
        <w:tc>
          <w:tcPr>
            <w:tcW w:w="0" w:type="auto"/>
            <w:hideMark/>
          </w:tcPr>
          <w:p w:rsidR="00000000" w:rsidRDefault="00B5032F">
            <w:pPr>
              <w:jc w:val="center"/>
              <w:rPr>
                <w:rFonts w:eastAsia="Times New Roman"/>
                <w:b/>
                <w:bCs/>
                <w:sz w:val="22"/>
                <w:szCs w:val="22"/>
              </w:rPr>
            </w:pPr>
            <w:r>
              <w:rPr>
                <w:rFonts w:eastAsia="Times New Roman"/>
                <w:b/>
                <w:bCs/>
                <w:sz w:val="22"/>
                <w:szCs w:val="22"/>
              </w:rPr>
              <w:t>Titular de curs,</w:t>
            </w:r>
            <w:r>
              <w:rPr>
                <w:rFonts w:eastAsia="Times New Roman"/>
                <w:b/>
                <w:bCs/>
                <w:sz w:val="22"/>
                <w:szCs w:val="22"/>
              </w:rPr>
              <w:br/>
              <w:t>Prof. Dr. IONEL MANGALAGIU</w:t>
            </w:r>
          </w:p>
        </w:tc>
        <w:tc>
          <w:tcPr>
            <w:tcW w:w="0" w:type="auto"/>
            <w:hideMark/>
          </w:tcPr>
          <w:p w:rsidR="00000000" w:rsidRDefault="00B5032F">
            <w:pPr>
              <w:jc w:val="center"/>
              <w:rPr>
                <w:rFonts w:eastAsia="Times New Roman"/>
                <w:b/>
                <w:bCs/>
                <w:sz w:val="22"/>
                <w:szCs w:val="22"/>
              </w:rPr>
            </w:pPr>
            <w:r>
              <w:rPr>
                <w:rFonts w:eastAsia="Times New Roman"/>
                <w:b/>
                <w:bCs/>
                <w:sz w:val="22"/>
                <w:szCs w:val="22"/>
              </w:rPr>
              <w:t>Titular de seminar,</w:t>
            </w:r>
            <w:r>
              <w:rPr>
                <w:rFonts w:eastAsia="Times New Roman"/>
                <w:b/>
                <w:bCs/>
                <w:sz w:val="22"/>
                <w:szCs w:val="22"/>
              </w:rPr>
              <w:br/>
            </w:r>
            <w:r>
              <w:rPr>
                <w:rFonts w:eastAsia="Times New Roman"/>
                <w:b/>
                <w:bCs/>
                <w:sz w:val="22"/>
                <w:szCs w:val="22"/>
              </w:rPr>
              <w:t>Conf. Dr. DORINA AMARIUCAI - MANTU/ Conf. Dr. VASILICHIA ANTOCI/ Asist. Dr. DUMITRELA DIACONU</w:t>
            </w:r>
          </w:p>
        </w:tc>
      </w:tr>
    </w:tbl>
    <w:p w:rsidR="00000000" w:rsidRDefault="00B5032F">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5031"/>
        <w:gridCol w:w="6149"/>
      </w:tblGrid>
      <w:tr w:rsidR="00000000">
        <w:tc>
          <w:tcPr>
            <w:tcW w:w="0" w:type="auto"/>
            <w:hideMark/>
          </w:tcPr>
          <w:p w:rsidR="00000000" w:rsidRDefault="00B5032F">
            <w:pPr>
              <w:jc w:val="center"/>
              <w:rPr>
                <w:rFonts w:eastAsia="Times New Roman"/>
                <w:b/>
                <w:bCs/>
                <w:sz w:val="22"/>
                <w:szCs w:val="22"/>
              </w:rPr>
            </w:pPr>
            <w:r>
              <w:rPr>
                <w:rFonts w:eastAsia="Times New Roman"/>
                <w:b/>
                <w:bCs/>
                <w:sz w:val="22"/>
                <w:szCs w:val="22"/>
              </w:rPr>
              <w:t>Data avizării în departament,</w:t>
            </w:r>
            <w:r>
              <w:rPr>
                <w:rFonts w:eastAsia="Times New Roman"/>
                <w:b/>
                <w:bCs/>
                <w:sz w:val="22"/>
                <w:szCs w:val="22"/>
              </w:rPr>
              <w:br/>
              <w:t> </w:t>
            </w:r>
          </w:p>
        </w:tc>
        <w:tc>
          <w:tcPr>
            <w:tcW w:w="0" w:type="auto"/>
            <w:hideMark/>
          </w:tcPr>
          <w:p w:rsidR="00000000" w:rsidRDefault="00B5032F">
            <w:pPr>
              <w:jc w:val="center"/>
              <w:rPr>
                <w:rFonts w:eastAsia="Times New Roman"/>
                <w:b/>
                <w:bCs/>
                <w:sz w:val="22"/>
                <w:szCs w:val="22"/>
              </w:rPr>
            </w:pPr>
            <w:r>
              <w:rPr>
                <w:rFonts w:eastAsia="Times New Roman"/>
                <w:b/>
                <w:bCs/>
                <w:sz w:val="22"/>
                <w:szCs w:val="22"/>
              </w:rPr>
              <w:t>Director de departament,</w:t>
            </w:r>
            <w:r>
              <w:rPr>
                <w:rFonts w:eastAsia="Times New Roman"/>
                <w:b/>
                <w:bCs/>
                <w:sz w:val="22"/>
                <w:szCs w:val="22"/>
              </w:rPr>
              <w:br/>
              <w:t>Prof. Dr. MIHAIL LUCIAN BIRSA</w:t>
            </w:r>
          </w:p>
        </w:tc>
      </w:tr>
    </w:tbl>
    <w:p w:rsidR="00B5032F" w:rsidRDefault="00B5032F">
      <w:pPr>
        <w:rPr>
          <w:rFonts w:eastAsia="Times New Roman"/>
        </w:rPr>
      </w:pPr>
    </w:p>
    <w:sectPr w:rsidR="00B5032F">
      <w:pgSz w:w="11900" w:h="16840"/>
      <w:pgMar w:top="720" w:right="360" w:bottom="720" w:left="36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1406"/>
    <w:multiLevelType w:val="multilevel"/>
    <w:tmpl w:val="A1D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C2EA0"/>
    <w:rsid w:val="00262E0D"/>
    <w:rsid w:val="008C2EA0"/>
    <w:rsid w:val="00B5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68237-0E6D-4F97-B0EA-1BC5271D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discplan">
    <w:name w:val="subtitlu_disc_plan"/>
    <w:basedOn w:val="Normal"/>
    <w:pPr>
      <w:ind w:left="300"/>
    </w:pPr>
    <w:rPr>
      <w:b/>
      <w:bCs/>
    </w:rPr>
  </w:style>
  <w:style w:type="paragraph" w:customStyle="1" w:styleId="continut">
    <w:name w:val="continu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8460</Characters>
  <Application>Microsoft Office Word</Application>
  <DocSecurity>0</DocSecurity>
  <Lines>313</Lines>
  <Paragraphs>198</Paragraphs>
  <ScaleCrop>false</ScaleCrop>
  <HeadingPairs>
    <vt:vector size="2" baseType="variant">
      <vt:variant>
        <vt:lpstr>Title</vt:lpstr>
      </vt:variant>
      <vt:variant>
        <vt:i4>1</vt:i4>
      </vt:variant>
    </vt:vector>
  </HeadingPairs>
  <TitlesOfParts>
    <vt:vector size="1" baseType="lpstr">
      <vt:lpstr>Fişa disciplinei</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disciplinei</dc:title>
  <dc:subject/>
  <dc:creator>user</dc:creator>
  <cp:keywords/>
  <dc:description/>
  <cp:lastModifiedBy>user</cp:lastModifiedBy>
  <cp:revision>2</cp:revision>
  <dcterms:created xsi:type="dcterms:W3CDTF">2025-10-21T11:04:00Z</dcterms:created>
  <dcterms:modified xsi:type="dcterms:W3CDTF">2025-10-21T11:04:00Z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4f50de68-7964-4aae-a535-948d37e50311</vt:lpwstr>
  </property>
</Properties>
</file>